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bookmarkStart w:id="0" w:name="_GoBack"/>
      <w:bookmarkEnd w:id="0"/>
      <w:r>
        <w:rPr>
          <w:b/>
          <w:sz w:val="44"/>
          <w:szCs w:val="44"/>
        </w:rPr>
        <w:t>福建省房地产估价档案管理</w:t>
      </w:r>
      <w:r>
        <w:rPr>
          <w:rFonts w:hint="eastAsia"/>
          <w:b/>
          <w:sz w:val="44"/>
          <w:szCs w:val="44"/>
        </w:rPr>
        <w:t>指引</w:t>
      </w:r>
    </w:p>
    <w:p>
      <w:pPr>
        <w:spacing w:line="360" w:lineRule="auto"/>
        <w:jc w:val="center"/>
        <w:rPr>
          <w:sz w:val="28"/>
          <w:szCs w:val="28"/>
        </w:rPr>
      </w:pPr>
      <w:r>
        <w:rPr>
          <w:rFonts w:hint="eastAsia"/>
          <w:sz w:val="28"/>
          <w:szCs w:val="28"/>
        </w:rPr>
        <w:t>（公示稿）</w:t>
      </w:r>
    </w:p>
    <w:p>
      <w:pPr>
        <w:spacing w:before="187" w:beforeLines="60" w:after="187" w:afterLines="60" w:line="360" w:lineRule="auto"/>
        <w:jc w:val="center"/>
        <w:rPr>
          <w:rFonts w:ascii="黑体" w:hAnsi="黑体" w:eastAsia="黑体" w:cs="黑体"/>
          <w:b/>
          <w:sz w:val="30"/>
          <w:szCs w:val="30"/>
        </w:rPr>
      </w:pPr>
      <w:r>
        <w:rPr>
          <w:rFonts w:hint="eastAsia" w:ascii="黑体" w:hAnsi="黑体" w:eastAsia="黑体" w:cs="黑体"/>
          <w:b/>
          <w:sz w:val="30"/>
          <w:szCs w:val="30"/>
        </w:rPr>
        <w:t>第一章  总则</w:t>
      </w:r>
    </w:p>
    <w:p>
      <w:pPr>
        <w:ind w:firstLine="562" w:firstLineChars="200"/>
        <w:rPr>
          <w:rFonts w:hint="eastAsia"/>
          <w:sz w:val="28"/>
          <w:szCs w:val="28"/>
        </w:rPr>
      </w:pPr>
      <w:r>
        <w:rPr>
          <w:rFonts w:hint="eastAsia"/>
          <w:b/>
          <w:sz w:val="28"/>
          <w:szCs w:val="28"/>
          <w:lang w:val="en-US" w:eastAsia="zh-CN"/>
        </w:rPr>
        <w:t xml:space="preserve">第一条 制定目的 </w:t>
      </w:r>
      <w:r>
        <w:rPr>
          <w:rFonts w:hint="eastAsia"/>
          <w:b/>
          <w:sz w:val="28"/>
          <w:szCs w:val="28"/>
        </w:rPr>
        <w:t xml:space="preserve"> </w:t>
      </w:r>
      <w:r>
        <w:rPr>
          <w:rFonts w:hint="eastAsia"/>
          <w:sz w:val="28"/>
          <w:szCs w:val="28"/>
        </w:rPr>
        <w:t>为正确贯彻执行党和国家的路线、方针、政策，自觉遵守国家的法律、法规和各项规章制度，促进房地产估价行业的健康发展，规避估价执业风险，规范房地产估价机构（简称：估价机构）和注册房地产估价师（简称：估价师）对房地产估价档案和资料（简称“估价档案”）的管理，提高估价档案使用效率和再利用效益，推进大数据、云平台、AI新技术的应用，提升信息化水平和数字资产管理水平，维护社会公共利益和房地产估价活动合法权益，特制定本指引。</w:t>
      </w:r>
    </w:p>
    <w:p>
      <w:pPr>
        <w:ind w:firstLine="562" w:firstLineChars="200"/>
        <w:rPr>
          <w:rFonts w:hint="eastAsia"/>
          <w:sz w:val="28"/>
          <w:szCs w:val="28"/>
        </w:rPr>
      </w:pPr>
      <w:r>
        <w:rPr>
          <w:rFonts w:hint="eastAsia"/>
          <w:b/>
          <w:sz w:val="28"/>
          <w:szCs w:val="28"/>
          <w:lang w:val="en-US" w:eastAsia="zh-CN"/>
        </w:rPr>
        <w:t>第二条 法律责任</w:t>
      </w:r>
      <w:r>
        <w:rPr>
          <w:rFonts w:hint="eastAsia"/>
          <w:sz w:val="28"/>
          <w:szCs w:val="28"/>
        </w:rPr>
        <w:t xml:space="preserve">  估价机构与项目签字估价师是估价档案管理的第一责任人。估价机构应建立健全有效的估价机构档案管理制度，确立全体从业人员的档案管理、档案应用和档案安全意识，以实现及时完整归档，可查阅可追溯、可还原估价真实活动，规避因档案不齐全、不及时、不真实所导致的法律责任和经济风险。</w:t>
      </w:r>
    </w:p>
    <w:p>
      <w:pPr>
        <w:ind w:firstLine="562" w:firstLineChars="200"/>
        <w:rPr>
          <w:rFonts w:hint="eastAsia"/>
          <w:sz w:val="28"/>
          <w:szCs w:val="28"/>
        </w:rPr>
      </w:pPr>
      <w:r>
        <w:rPr>
          <w:rFonts w:hint="eastAsia"/>
          <w:b/>
          <w:sz w:val="28"/>
          <w:szCs w:val="28"/>
          <w:lang w:val="en-US" w:eastAsia="zh-CN"/>
        </w:rPr>
        <w:t xml:space="preserve">第三条 制定依据 </w:t>
      </w:r>
      <w:r>
        <w:rPr>
          <w:rFonts w:hint="eastAsia"/>
          <w:b/>
          <w:sz w:val="28"/>
          <w:szCs w:val="28"/>
        </w:rPr>
        <w:t xml:space="preserve"> </w:t>
      </w:r>
      <w:r>
        <w:rPr>
          <w:rFonts w:hint="eastAsia"/>
          <w:sz w:val="28"/>
          <w:szCs w:val="28"/>
        </w:rPr>
        <w:t>依据《资产评估法》</w:t>
      </w:r>
      <w:r>
        <w:rPr>
          <w:sz w:val="28"/>
          <w:szCs w:val="28"/>
        </w:rPr>
        <w:t>《档案法实施办法》</w:t>
      </w:r>
      <w:r>
        <w:rPr>
          <w:rFonts w:hint="eastAsia"/>
          <w:sz w:val="28"/>
          <w:szCs w:val="28"/>
        </w:rPr>
        <w:t>《电子签名法》《房地产估价规范》《房地产估价机构管理办法》《中国房地产估价师与房地产经纪人学会房地产估价档案管理指导意见》等有关法律和规定制定。</w:t>
      </w:r>
    </w:p>
    <w:p>
      <w:pPr>
        <w:ind w:firstLine="562" w:firstLineChars="200"/>
        <w:rPr>
          <w:rFonts w:hint="eastAsia"/>
          <w:sz w:val="28"/>
          <w:szCs w:val="28"/>
        </w:rPr>
      </w:pPr>
      <w:r>
        <w:rPr>
          <w:rFonts w:hint="eastAsia"/>
          <w:b/>
          <w:bCs w:val="0"/>
          <w:sz w:val="28"/>
          <w:szCs w:val="28"/>
          <w:lang w:val="en-US" w:eastAsia="zh-CN"/>
        </w:rPr>
        <w:t>第四条 档案定义</w:t>
      </w:r>
      <w:r>
        <w:rPr>
          <w:rFonts w:hint="eastAsia"/>
          <w:b/>
          <w:sz w:val="28"/>
          <w:szCs w:val="28"/>
          <w:lang w:val="en-US" w:eastAsia="zh-CN"/>
        </w:rPr>
        <w:t xml:space="preserve"> </w:t>
      </w:r>
      <w:r>
        <w:rPr>
          <w:rFonts w:hint="eastAsia"/>
          <w:sz w:val="28"/>
          <w:szCs w:val="28"/>
        </w:rPr>
        <w:t xml:space="preserve"> 本指引所称房地产估价档案，是指房地产估价机构、估价师出具各类房地产估价报告和咨询类报告，在估价活动中所获得、反映房地产估价程序实施情况、支持估价结论的工作底稿、过程及正式估价报告、三级审核记录，以及其他相关的电子或纸质类型资料，包括但不限于土地、建构筑物、在建工程、以房地产为主的企业整体资产、企业整体资产中的房地产等各类房地产评估，以及因转让、抵押、房屋征收、</w:t>
      </w:r>
      <w:r>
        <w:rPr>
          <w:rFonts w:hint="eastAsia"/>
          <w:color w:val="auto"/>
          <w:sz w:val="28"/>
          <w:szCs w:val="28"/>
          <w:lang w:val="en-US" w:eastAsia="zh-CN"/>
        </w:rPr>
        <w:t>涉</w:t>
      </w:r>
      <w:r>
        <w:rPr>
          <w:rFonts w:hint="eastAsia"/>
          <w:color w:val="auto"/>
          <w:sz w:val="28"/>
          <w:szCs w:val="28"/>
        </w:rPr>
        <w:t>执房地产司法处置、</w:t>
      </w:r>
      <w:r>
        <w:rPr>
          <w:rFonts w:hint="eastAsia"/>
          <w:sz w:val="28"/>
          <w:szCs w:val="28"/>
        </w:rPr>
        <w:t>课税、公司上市、企业改制、企业清算、资产重组、资产处置等房地产评估，还包括数字资产评估等新类型的估价业务。</w:t>
      </w:r>
    </w:p>
    <w:p>
      <w:pPr>
        <w:spacing w:before="187" w:beforeLines="60" w:after="187" w:afterLines="60"/>
        <w:jc w:val="center"/>
        <w:rPr>
          <w:rFonts w:hint="eastAsia" w:ascii="黑体" w:hAnsi="黑体" w:eastAsia="黑体" w:cs="黑体"/>
          <w:b/>
          <w:sz w:val="30"/>
          <w:szCs w:val="30"/>
        </w:rPr>
      </w:pPr>
      <w:r>
        <w:rPr>
          <w:rFonts w:hint="eastAsia" w:ascii="黑体" w:hAnsi="黑体" w:eastAsia="黑体" w:cs="黑体"/>
          <w:b/>
          <w:sz w:val="30"/>
          <w:szCs w:val="30"/>
        </w:rPr>
        <w:t>第二章  估价机构档案管理体系</w:t>
      </w:r>
    </w:p>
    <w:p>
      <w:pPr>
        <w:ind w:firstLine="562" w:firstLineChars="200"/>
        <w:rPr>
          <w:rFonts w:hint="eastAsia"/>
          <w:sz w:val="28"/>
          <w:szCs w:val="28"/>
          <w:lang w:val="en-US" w:eastAsia="zh-CN"/>
        </w:rPr>
      </w:pPr>
      <w:r>
        <w:rPr>
          <w:rFonts w:hint="eastAsia"/>
          <w:b/>
          <w:sz w:val="28"/>
          <w:szCs w:val="28"/>
          <w:lang w:val="en-US" w:eastAsia="zh-CN"/>
        </w:rPr>
        <w:t xml:space="preserve">第五条 建立档案管理制度 </w:t>
      </w:r>
      <w:r>
        <w:rPr>
          <w:rFonts w:hint="eastAsia" w:ascii="黑体" w:hAnsi="黑体" w:eastAsia="黑体" w:cs="黑体"/>
          <w:b/>
          <w:sz w:val="28"/>
          <w:szCs w:val="28"/>
          <w:lang w:val="en-US" w:eastAsia="zh-CN"/>
        </w:rPr>
        <w:t xml:space="preserve"> </w:t>
      </w:r>
      <w:r>
        <w:rPr>
          <w:rFonts w:hint="eastAsia"/>
          <w:sz w:val="28"/>
          <w:szCs w:val="28"/>
          <w:lang w:val="en-US" w:eastAsia="zh-CN"/>
        </w:rPr>
        <w:t>估价机构应当建立适合本机构的估价档案管理系列制度，遵循统一领导、集中管理的原则，明确一名机构主要负责人主管估价档案工作，指定专人负责估价档案管理工作。有条件的估价机构，可配备档案管理专职人员或设立专职部门。</w:t>
      </w:r>
    </w:p>
    <w:p>
      <w:pPr>
        <w:ind w:firstLine="562" w:firstLineChars="200"/>
        <w:rPr>
          <w:rFonts w:hint="eastAsia"/>
          <w:sz w:val="28"/>
          <w:szCs w:val="28"/>
          <w:lang w:val="en-US" w:eastAsia="zh-CN"/>
        </w:rPr>
      </w:pPr>
      <w:r>
        <w:rPr>
          <w:rFonts w:hint="eastAsia"/>
          <w:b/>
          <w:sz w:val="28"/>
          <w:szCs w:val="28"/>
          <w:lang w:val="en-US" w:eastAsia="zh-CN"/>
        </w:rPr>
        <w:t xml:space="preserve">第六条 估价档案物理形式 </w:t>
      </w:r>
      <w:r>
        <w:rPr>
          <w:rFonts w:hint="eastAsia"/>
          <w:sz w:val="28"/>
          <w:szCs w:val="28"/>
          <w:lang w:val="en-US" w:eastAsia="zh-CN"/>
        </w:rPr>
        <w:t xml:space="preserve"> 估价档案包含纸质档案和电子档案两种形式，估价机构应持续创新，做好其它介质文档档案的建设和运用。</w:t>
      </w:r>
    </w:p>
    <w:p>
      <w:pPr>
        <w:ind w:firstLine="562" w:firstLineChars="200"/>
        <w:rPr>
          <w:rFonts w:hint="default"/>
          <w:sz w:val="28"/>
          <w:szCs w:val="28"/>
          <w:lang w:val="en-US" w:eastAsia="zh-CN"/>
        </w:rPr>
      </w:pPr>
      <w:r>
        <w:rPr>
          <w:rFonts w:hint="default"/>
          <w:b/>
          <w:sz w:val="28"/>
          <w:szCs w:val="28"/>
          <w:lang w:val="en-US" w:eastAsia="zh-CN"/>
        </w:rPr>
        <w:t xml:space="preserve">第七条 分支机构档案管理 </w:t>
      </w:r>
      <w:r>
        <w:rPr>
          <w:rFonts w:hint="default"/>
          <w:sz w:val="28"/>
          <w:szCs w:val="28"/>
          <w:lang w:val="en-US" w:eastAsia="zh-CN"/>
        </w:rPr>
        <w:t xml:space="preserve"> 分支机构应严格执行估价机构对档案的统一管理制度，在保存完整纸质档案的同时应保存电子档案，并及时上交纸质文档、上传电子档案，接受估价机构定期或不定期档案工作专项检查。不因设立分支机构而减轻估价机构应尽的法律责任和管理义务，估价机构应当将分支机构的纸质档案集中统一管理。</w:t>
      </w:r>
    </w:p>
    <w:p>
      <w:pPr>
        <w:spacing w:before="187" w:beforeLines="60" w:after="187" w:afterLines="60"/>
        <w:jc w:val="center"/>
        <w:rPr>
          <w:rFonts w:ascii="黑体" w:hAnsi="黑体" w:eastAsia="黑体" w:cs="黑体"/>
          <w:b/>
          <w:sz w:val="30"/>
          <w:szCs w:val="30"/>
        </w:rPr>
      </w:pPr>
      <w:r>
        <w:rPr>
          <w:rFonts w:hint="eastAsia" w:ascii="黑体" w:hAnsi="黑体" w:eastAsia="黑体" w:cs="黑体"/>
          <w:b/>
          <w:sz w:val="30"/>
          <w:szCs w:val="30"/>
        </w:rPr>
        <w:t>第三章  估价档案的管理、保存与销毁</w:t>
      </w:r>
    </w:p>
    <w:p>
      <w:pPr>
        <w:ind w:firstLine="562" w:firstLineChars="200"/>
        <w:rPr>
          <w:sz w:val="28"/>
          <w:szCs w:val="28"/>
        </w:rPr>
      </w:pPr>
      <w:r>
        <w:rPr>
          <w:rFonts w:hint="eastAsia"/>
          <w:b/>
          <w:sz w:val="28"/>
          <w:szCs w:val="28"/>
        </w:rPr>
        <w:t xml:space="preserve">第八条 档案管理基本流程  </w:t>
      </w:r>
      <w:r>
        <w:rPr>
          <w:rFonts w:hint="eastAsia"/>
          <w:sz w:val="28"/>
          <w:szCs w:val="28"/>
        </w:rPr>
        <w:t>估价档案管理基础工作包括档案：收集、整理、登记、入档、保存、复盘、维护、利用、销毁或移交等。估价机构应针对纸质、电子，以及其他介质档案分别制定管理制度和工作流程。</w:t>
      </w:r>
    </w:p>
    <w:p>
      <w:pPr>
        <w:ind w:firstLine="562" w:firstLineChars="200"/>
        <w:rPr>
          <w:sz w:val="28"/>
          <w:szCs w:val="28"/>
        </w:rPr>
      </w:pPr>
      <w:r>
        <w:rPr>
          <w:rFonts w:hint="eastAsia"/>
          <w:b/>
          <w:sz w:val="28"/>
          <w:szCs w:val="28"/>
        </w:rPr>
        <w:t xml:space="preserve">第九条 归档资料范围  </w:t>
      </w:r>
      <w:r>
        <w:rPr>
          <w:rFonts w:hint="eastAsia"/>
          <w:sz w:val="28"/>
          <w:szCs w:val="28"/>
        </w:rPr>
        <w:t>归档资料应包括：</w:t>
      </w:r>
    </w:p>
    <w:p>
      <w:pPr>
        <w:ind w:firstLine="560" w:firstLineChars="200"/>
        <w:rPr>
          <w:sz w:val="28"/>
          <w:szCs w:val="28"/>
        </w:rPr>
      </w:pPr>
      <w:r>
        <w:rPr>
          <w:rFonts w:hint="eastAsia"/>
          <w:sz w:val="28"/>
          <w:szCs w:val="28"/>
        </w:rPr>
        <w:t>1、完整的估价报告。包括估价报告封面、致估价委托人函、目录、估价师声明、估价假设和限制条件、估价结果报告、估价技术报告、附件；咨询类估价报告，报告格式可不受上述内容限制，但所涉资料应具备完整性和真实性；</w:t>
      </w:r>
    </w:p>
    <w:p>
      <w:pPr>
        <w:ind w:firstLine="560" w:firstLineChars="200"/>
        <w:rPr>
          <w:sz w:val="28"/>
          <w:szCs w:val="28"/>
        </w:rPr>
      </w:pPr>
      <w:r>
        <w:rPr>
          <w:rFonts w:hint="eastAsia"/>
          <w:sz w:val="28"/>
          <w:szCs w:val="28"/>
        </w:rPr>
        <w:t>2、估价委托书和估价委托合同；</w:t>
      </w:r>
    </w:p>
    <w:p>
      <w:pPr>
        <w:ind w:firstLine="560" w:firstLineChars="200"/>
        <w:rPr>
          <w:sz w:val="28"/>
          <w:szCs w:val="28"/>
        </w:rPr>
      </w:pPr>
      <w:r>
        <w:rPr>
          <w:rFonts w:hint="eastAsia"/>
          <w:sz w:val="28"/>
          <w:szCs w:val="28"/>
        </w:rPr>
        <w:t>3、</w:t>
      </w:r>
      <w:r>
        <w:rPr>
          <w:rFonts w:hint="eastAsia"/>
          <w:color w:val="auto"/>
          <w:sz w:val="28"/>
          <w:szCs w:val="28"/>
          <w:lang w:val="en-US" w:eastAsia="zh-CN"/>
        </w:rPr>
        <w:t>估价委托人</w:t>
      </w:r>
      <w:r>
        <w:rPr>
          <w:rFonts w:hint="eastAsia"/>
          <w:sz w:val="28"/>
          <w:szCs w:val="28"/>
        </w:rPr>
        <w:t>所提供的资料；</w:t>
      </w:r>
    </w:p>
    <w:p>
      <w:pPr>
        <w:ind w:firstLine="560" w:firstLineChars="200"/>
        <w:rPr>
          <w:sz w:val="28"/>
          <w:szCs w:val="28"/>
        </w:rPr>
      </w:pPr>
      <w:r>
        <w:rPr>
          <w:rFonts w:hint="eastAsia"/>
          <w:sz w:val="28"/>
          <w:szCs w:val="28"/>
        </w:rPr>
        <w:t>4、实地查勘记录；</w:t>
      </w:r>
    </w:p>
    <w:p>
      <w:pPr>
        <w:ind w:firstLine="560" w:firstLineChars="200"/>
        <w:rPr>
          <w:sz w:val="28"/>
          <w:szCs w:val="28"/>
        </w:rPr>
      </w:pPr>
      <w:r>
        <w:rPr>
          <w:rFonts w:hint="eastAsia"/>
          <w:sz w:val="28"/>
          <w:szCs w:val="28"/>
        </w:rPr>
        <w:t>5、估价师调查获得的资料，应注意对被调查人员的口述证词记录和评估中所使用书籍资料索引的归集；</w:t>
      </w:r>
    </w:p>
    <w:p>
      <w:pPr>
        <w:ind w:firstLine="560" w:firstLineChars="200"/>
        <w:rPr>
          <w:sz w:val="28"/>
          <w:szCs w:val="28"/>
        </w:rPr>
      </w:pPr>
      <w:r>
        <w:rPr>
          <w:rFonts w:hint="eastAsia"/>
          <w:sz w:val="28"/>
          <w:szCs w:val="28"/>
        </w:rPr>
        <w:t>6、估价报告审核记录，包括估价过程中重大分歧意见的记录；</w:t>
      </w:r>
    </w:p>
    <w:p>
      <w:pPr>
        <w:ind w:firstLine="560" w:firstLineChars="200"/>
        <w:rPr>
          <w:sz w:val="28"/>
          <w:szCs w:val="28"/>
        </w:rPr>
      </w:pPr>
      <w:r>
        <w:rPr>
          <w:rFonts w:hint="eastAsia"/>
          <w:sz w:val="28"/>
          <w:szCs w:val="28"/>
        </w:rPr>
        <w:t>7、重要专业帮助的专业意见；</w:t>
      </w:r>
    </w:p>
    <w:p>
      <w:pPr>
        <w:ind w:firstLine="560" w:firstLineChars="200"/>
        <w:rPr>
          <w:sz w:val="28"/>
          <w:szCs w:val="28"/>
        </w:rPr>
      </w:pPr>
      <w:r>
        <w:rPr>
          <w:rFonts w:hint="eastAsia"/>
          <w:sz w:val="28"/>
          <w:szCs w:val="28"/>
        </w:rPr>
        <w:t>8、估价报告的电子版、估价测算电子表单、相关资料的扫描件、影音影像、相关照片等电子介质资料；</w:t>
      </w:r>
    </w:p>
    <w:p>
      <w:pPr>
        <w:ind w:firstLine="560" w:firstLineChars="200"/>
        <w:rPr>
          <w:sz w:val="28"/>
          <w:szCs w:val="28"/>
        </w:rPr>
      </w:pPr>
      <w:r>
        <w:rPr>
          <w:rFonts w:hint="eastAsia"/>
          <w:sz w:val="28"/>
          <w:szCs w:val="28"/>
        </w:rPr>
        <w:t>9、估价机构的归档流程记录。</w:t>
      </w:r>
    </w:p>
    <w:p>
      <w:pPr>
        <w:ind w:firstLine="562" w:firstLineChars="200"/>
        <w:rPr>
          <w:sz w:val="28"/>
          <w:szCs w:val="28"/>
        </w:rPr>
      </w:pPr>
      <w:r>
        <w:rPr>
          <w:rFonts w:hint="eastAsia"/>
          <w:b/>
          <w:sz w:val="28"/>
          <w:szCs w:val="28"/>
        </w:rPr>
        <w:t xml:space="preserve">第十条 保存形式  </w:t>
      </w:r>
      <w:r>
        <w:rPr>
          <w:rFonts w:hint="eastAsia"/>
          <w:sz w:val="28"/>
          <w:szCs w:val="28"/>
        </w:rPr>
        <w:t>属于归档范围的报告及相关资料，除了无纸介质的资料可以仅保存电子介质之外，其余均应同时采用纸介质和电子介质格式一同保存，且保存内容应当一致或相匹配；内容不一致时，除非有证据证明纸介质的内容有错误，否则应以纸介质的内容为准。采用具有法律效力的数据电文、电子签名的，则应以电文、电子签名为准，其对应的纸介质内容为辅。</w:t>
      </w:r>
    </w:p>
    <w:p>
      <w:pPr>
        <w:ind w:firstLine="560" w:firstLineChars="200"/>
        <w:rPr>
          <w:sz w:val="28"/>
          <w:szCs w:val="28"/>
        </w:rPr>
      </w:pPr>
      <w:r>
        <w:rPr>
          <w:rFonts w:hint="eastAsia"/>
          <w:sz w:val="28"/>
          <w:szCs w:val="28"/>
        </w:rPr>
        <w:t>估价机构对归档的纸质资料应当统一形式和样式，保证字迹清楚、影像清晰、页面整洁、内容材质可持久保存；对归档的电子资料，应按照《电子文件归档与管理规范》（GB/T18894）和《建设电子文件与电子档案管理规范》（CJJ/T117）执行，鼓励使用区块链和电子签名等新技术。</w:t>
      </w:r>
    </w:p>
    <w:p>
      <w:pPr>
        <w:ind w:firstLine="562" w:firstLineChars="200"/>
        <w:rPr>
          <w:sz w:val="28"/>
          <w:szCs w:val="28"/>
        </w:rPr>
      </w:pPr>
      <w:r>
        <w:rPr>
          <w:rFonts w:hint="eastAsia"/>
          <w:b/>
          <w:sz w:val="28"/>
          <w:szCs w:val="28"/>
        </w:rPr>
        <w:t xml:space="preserve">第十一条 分类方法  </w:t>
      </w:r>
      <w:r>
        <w:rPr>
          <w:rFonts w:hint="eastAsia"/>
          <w:sz w:val="28"/>
          <w:szCs w:val="28"/>
        </w:rPr>
        <w:t>档案应当以科学分类、建档、查找、检索、利用、管理为原则，鼓励估价机构积极探索、推广数字化、信息技术的应用</w:t>
      </w:r>
      <w:r>
        <w:rPr>
          <w:rFonts w:hint="eastAsia"/>
          <w:sz w:val="28"/>
          <w:szCs w:val="28"/>
          <w:lang w:eastAsia="zh-CN"/>
        </w:rPr>
        <w:t>。</w:t>
      </w:r>
      <w:r>
        <w:rPr>
          <w:rFonts w:hint="eastAsia"/>
          <w:sz w:val="28"/>
          <w:szCs w:val="28"/>
        </w:rPr>
        <w:t>迭代档案分类与编码方法，建议体现“年度—估价目的—地区”或者“估价目的—年度——地区”基本分类和目录树。</w:t>
      </w:r>
    </w:p>
    <w:p>
      <w:pPr>
        <w:ind w:firstLine="562" w:firstLineChars="200"/>
        <w:rPr>
          <w:sz w:val="28"/>
          <w:szCs w:val="28"/>
        </w:rPr>
      </w:pPr>
      <w:r>
        <w:rPr>
          <w:rFonts w:hint="eastAsia"/>
          <w:b/>
          <w:sz w:val="28"/>
          <w:szCs w:val="28"/>
        </w:rPr>
        <w:t xml:space="preserve">第十二条 移交检查  </w:t>
      </w:r>
      <w:r>
        <w:rPr>
          <w:rFonts w:hint="eastAsia"/>
          <w:sz w:val="28"/>
          <w:szCs w:val="28"/>
        </w:rPr>
        <w:t>估价报告归档资料（包括纸质、电子及其他介质资料）应自估价报告出具之日起30日内归档。防范估价报告资料未及时归档，被个人据为已有，或藏匿或非法损毁或篡改原始凭证的行为。归档时，应当检查是否齐全、完整。对于符合归档要求的，应当及时予以归档；对于不符合归档要求的，应当完善后予以归档，</w:t>
      </w:r>
      <w:r>
        <w:rPr>
          <w:rFonts w:hint="eastAsia"/>
          <w:color w:val="auto"/>
          <w:sz w:val="28"/>
          <w:szCs w:val="28"/>
          <w:lang w:val="en-US" w:eastAsia="zh-CN"/>
        </w:rPr>
        <w:t>估价</w:t>
      </w:r>
      <w:r>
        <w:rPr>
          <w:rFonts w:hint="eastAsia"/>
          <w:sz w:val="28"/>
          <w:szCs w:val="28"/>
        </w:rPr>
        <w:t>机构档案制度应当明确重新归档、检查的时间和事项；若责任人无法在规定时间内完善并重新归档，估价机构应采取相应措施予以解决，保护估价报告资料和档案的安全。</w:t>
      </w:r>
    </w:p>
    <w:p>
      <w:pPr>
        <w:ind w:firstLine="562" w:firstLineChars="200"/>
        <w:rPr>
          <w:sz w:val="28"/>
          <w:szCs w:val="28"/>
        </w:rPr>
      </w:pPr>
      <w:r>
        <w:rPr>
          <w:rFonts w:hint="eastAsia"/>
          <w:b/>
          <w:sz w:val="28"/>
          <w:szCs w:val="28"/>
        </w:rPr>
        <w:t xml:space="preserve">第十三条 立卷索引  </w:t>
      </w:r>
      <w:r>
        <w:rPr>
          <w:rFonts w:hint="eastAsia"/>
          <w:sz w:val="28"/>
          <w:szCs w:val="28"/>
        </w:rPr>
        <w:t>立卷，纸质归档资料应当按照“一个估价项目一档”建立统一便于查找的台账，包含不限于本指引第九条所列内容，按顺序整理立卷，编制卷内目录、案卷编号，填写备考表、案卷封面和案卷脊背。鼓励估价机构组织档案编码体系研究，应用信息化技术进行档案管理。</w:t>
      </w:r>
    </w:p>
    <w:p>
      <w:pPr>
        <w:ind w:firstLine="560" w:firstLineChars="200"/>
        <w:rPr>
          <w:sz w:val="28"/>
          <w:szCs w:val="28"/>
        </w:rPr>
      </w:pPr>
      <w:r>
        <w:rPr>
          <w:rFonts w:hint="eastAsia"/>
          <w:sz w:val="28"/>
          <w:szCs w:val="28"/>
        </w:rPr>
        <w:t>估价档案分类后应按照年度或估价目的及时编制案卷目录。估价机构可以采用估价报告编号、估价项目名称、估价委托人等作为关键词编制档案索引。</w:t>
      </w:r>
    </w:p>
    <w:p>
      <w:pPr>
        <w:ind w:firstLine="560" w:firstLineChars="200"/>
        <w:rPr>
          <w:sz w:val="28"/>
          <w:szCs w:val="28"/>
        </w:rPr>
      </w:pPr>
      <w:r>
        <w:rPr>
          <w:rFonts w:hint="eastAsia"/>
          <w:sz w:val="28"/>
          <w:szCs w:val="28"/>
        </w:rPr>
        <w:t>电子归档资料所保存的内容应当与纸质档案一致或相匹配。</w:t>
      </w:r>
    </w:p>
    <w:p>
      <w:pPr>
        <w:ind w:firstLine="560" w:firstLineChars="200"/>
        <w:rPr>
          <w:sz w:val="28"/>
          <w:szCs w:val="28"/>
        </w:rPr>
      </w:pPr>
      <w:r>
        <w:rPr>
          <w:rFonts w:hint="eastAsia"/>
          <w:sz w:val="28"/>
          <w:szCs w:val="28"/>
        </w:rPr>
        <w:t>采用具有法律效力的数据电文、电子签名的，视为符合法律、法规要求的书面形式，应依据《电子签名法》的相关要求立卷建档并编制案卷目录，完成档案索引。</w:t>
      </w:r>
    </w:p>
    <w:p>
      <w:pPr>
        <w:ind w:firstLine="562" w:firstLineChars="200"/>
        <w:rPr>
          <w:sz w:val="28"/>
          <w:szCs w:val="28"/>
        </w:rPr>
      </w:pPr>
      <w:r>
        <w:rPr>
          <w:rFonts w:hint="eastAsia"/>
          <w:b/>
          <w:sz w:val="28"/>
          <w:szCs w:val="28"/>
        </w:rPr>
        <w:t>第十四条 如实建档</w:t>
      </w:r>
      <w:r>
        <w:rPr>
          <w:rFonts w:hint="eastAsia"/>
          <w:sz w:val="28"/>
          <w:szCs w:val="28"/>
        </w:rPr>
        <w:t xml:space="preserve">  应建立档案建库、更新、使用、保管、移交等基础制度，如实记录档案构成、相关使用、更改行为或查阅记录。估价档案应当有序存放、妥善保管、严禁篡改、避免损坏、防止丢失，查找便捷、日常使用。</w:t>
      </w:r>
    </w:p>
    <w:p>
      <w:pPr>
        <w:ind w:firstLine="560" w:firstLineChars="200"/>
        <w:rPr>
          <w:sz w:val="28"/>
          <w:szCs w:val="28"/>
        </w:rPr>
      </w:pPr>
      <w:r>
        <w:rPr>
          <w:rFonts w:hint="eastAsia"/>
          <w:sz w:val="28"/>
          <w:szCs w:val="28"/>
        </w:rPr>
        <w:t>估价机构应确保估价档案内容的原始性、真实性、准确性、完整性，采取有效行为防范对估价入档资料进行改动、更换、删除或损毁。</w:t>
      </w:r>
    </w:p>
    <w:p>
      <w:pPr>
        <w:ind w:firstLine="562" w:firstLineChars="200"/>
        <w:rPr>
          <w:sz w:val="28"/>
          <w:szCs w:val="28"/>
        </w:rPr>
      </w:pPr>
      <w:r>
        <w:rPr>
          <w:rFonts w:hint="eastAsia"/>
          <w:b/>
          <w:sz w:val="28"/>
          <w:szCs w:val="28"/>
        </w:rPr>
        <w:t xml:space="preserve">第十五条 便于查阅 </w:t>
      </w:r>
      <w:r>
        <w:rPr>
          <w:rFonts w:hint="eastAsia"/>
          <w:sz w:val="28"/>
          <w:szCs w:val="28"/>
        </w:rPr>
        <w:t>估价机构应当分别制定纸质和电子估价档案查阅办法，明确查阅手续等相关事宜。公检法及行业主管部门、国家其他部门依法履行公职时，估价机构应予以积极配合，应注意对所查阅调用的估价档案留有手续。</w:t>
      </w:r>
    </w:p>
    <w:p>
      <w:pPr>
        <w:ind w:firstLine="560" w:firstLineChars="200"/>
        <w:rPr>
          <w:sz w:val="28"/>
          <w:szCs w:val="28"/>
        </w:rPr>
      </w:pPr>
      <w:r>
        <w:rPr>
          <w:rFonts w:hint="eastAsia"/>
          <w:sz w:val="28"/>
          <w:szCs w:val="28"/>
        </w:rPr>
        <w:t>对于估价档案应当定期进行检查。发现档案毁损或丢失的，应当按照规定采取补救措施，满足归档要求。分支机构档案的查阅方法应与估价机构一致。</w:t>
      </w:r>
    </w:p>
    <w:p>
      <w:pPr>
        <w:ind w:firstLine="562" w:firstLineChars="200"/>
        <w:rPr>
          <w:sz w:val="28"/>
          <w:szCs w:val="28"/>
        </w:rPr>
      </w:pPr>
      <w:r>
        <w:rPr>
          <w:rFonts w:hint="eastAsia"/>
          <w:b/>
          <w:sz w:val="28"/>
          <w:szCs w:val="28"/>
        </w:rPr>
        <w:t xml:space="preserve">第十六条  保密要求 </w:t>
      </w:r>
      <w:r>
        <w:rPr>
          <w:rFonts w:hint="eastAsia"/>
          <w:sz w:val="28"/>
          <w:szCs w:val="28"/>
        </w:rPr>
        <w:t xml:space="preserve"> 对估价档案中涉及的国家秘密、商业秘密、技术秘密和个人隐私应当予以保密，对电子档案的存储要注重资料安全，不泄密。</w:t>
      </w:r>
    </w:p>
    <w:p>
      <w:pPr>
        <w:ind w:firstLine="562" w:firstLineChars="200"/>
        <w:rPr>
          <w:sz w:val="28"/>
          <w:szCs w:val="28"/>
        </w:rPr>
      </w:pPr>
      <w:r>
        <w:rPr>
          <w:rFonts w:hint="eastAsia"/>
          <w:b/>
          <w:sz w:val="28"/>
          <w:szCs w:val="28"/>
        </w:rPr>
        <w:t>第十七条  保存场所</w:t>
      </w:r>
      <w:r>
        <w:rPr>
          <w:rFonts w:hint="eastAsia"/>
          <w:sz w:val="28"/>
          <w:szCs w:val="28"/>
        </w:rPr>
        <w:t xml:space="preserve">  估价机构应当配置适当的场所和必要的装具保存估价档案，分支机构的纸质档案应定期交由估价机构统一保管。电子档案应当设立专门的存储器，做到双重安全备份，定期检查和定期重新备份。</w:t>
      </w:r>
    </w:p>
    <w:p>
      <w:pPr>
        <w:ind w:firstLine="562" w:firstLineChars="200"/>
        <w:rPr>
          <w:sz w:val="28"/>
          <w:szCs w:val="28"/>
        </w:rPr>
      </w:pPr>
      <w:r>
        <w:rPr>
          <w:rFonts w:hint="eastAsia"/>
          <w:b/>
          <w:sz w:val="28"/>
          <w:szCs w:val="28"/>
        </w:rPr>
        <w:t>第十八条  保存期限</w:t>
      </w:r>
      <w:r>
        <w:rPr>
          <w:rFonts w:hint="eastAsia"/>
          <w:sz w:val="28"/>
          <w:szCs w:val="28"/>
        </w:rPr>
        <w:t xml:space="preserve">  纸质估价档案的保存期限自估价报告出具之日起不得少于15年，属于法定评估业务的，保存期限不少于30年；涉及重大利益或重要业务的原始档案宜永久保存。估价机构对于未完成但已终止的估价项目相关估价资料（包括纸质和电子）建议至少保存两年。法律、法规、规章另有规定的，从其规定。</w:t>
      </w:r>
    </w:p>
    <w:p>
      <w:pPr>
        <w:ind w:firstLine="562" w:firstLineChars="200"/>
        <w:rPr>
          <w:sz w:val="28"/>
          <w:szCs w:val="28"/>
        </w:rPr>
      </w:pPr>
      <w:r>
        <w:rPr>
          <w:rFonts w:hint="eastAsia"/>
          <w:b/>
          <w:sz w:val="28"/>
          <w:szCs w:val="28"/>
        </w:rPr>
        <w:t>第十九条  档案销毁</w:t>
      </w:r>
      <w:r>
        <w:rPr>
          <w:rFonts w:hint="eastAsia"/>
          <w:sz w:val="28"/>
          <w:szCs w:val="28"/>
        </w:rPr>
        <w:t xml:space="preserve">  估价档案保存期限届满，可以对没有继续保存和利用价值的纸质估价档案进行销毁。估价机构应组织专人进行甄别审核，确定待销毁档案。在销毁时应编制销毁清单，建立统一台账，保存复核记录所有电子估价档案应永久保存。</w:t>
      </w:r>
    </w:p>
    <w:p>
      <w:pPr>
        <w:ind w:firstLine="562" w:firstLineChars="200"/>
        <w:rPr>
          <w:sz w:val="28"/>
          <w:szCs w:val="28"/>
        </w:rPr>
      </w:pPr>
      <w:r>
        <w:rPr>
          <w:rFonts w:hint="eastAsia"/>
          <w:b/>
          <w:sz w:val="28"/>
          <w:szCs w:val="28"/>
        </w:rPr>
        <w:t xml:space="preserve">第二十条  档案移交  </w:t>
      </w:r>
      <w:r>
        <w:rPr>
          <w:rFonts w:hint="eastAsia"/>
          <w:sz w:val="28"/>
          <w:szCs w:val="28"/>
        </w:rPr>
        <w:t>估价档案管理人员或者部门发生变动的，应在估价机构负责档案管理主管人监督下，及时办理档案交接手续。</w:t>
      </w:r>
    </w:p>
    <w:p>
      <w:pPr>
        <w:ind w:firstLine="560" w:firstLineChars="200"/>
        <w:rPr>
          <w:sz w:val="28"/>
          <w:szCs w:val="28"/>
        </w:rPr>
      </w:pPr>
      <w:r>
        <w:rPr>
          <w:rFonts w:hint="eastAsia"/>
          <w:sz w:val="28"/>
          <w:szCs w:val="28"/>
        </w:rPr>
        <w:t>估价机构分立、合并、终止（包括撤销、解散、破产等），估价档案管理人员应当会同有关单位和人员编制估价档案移交清册，按照下列规定移交档案，包括纸质</w:t>
      </w:r>
      <w:r>
        <w:rPr>
          <w:rFonts w:hint="eastAsia"/>
          <w:color w:val="FF0000"/>
          <w:sz w:val="28"/>
          <w:szCs w:val="28"/>
        </w:rPr>
        <w:t>、</w:t>
      </w:r>
      <w:r>
        <w:rPr>
          <w:rFonts w:hint="eastAsia"/>
          <w:sz w:val="28"/>
          <w:szCs w:val="28"/>
        </w:rPr>
        <w:t>电子档案以及其他介质档案。</w:t>
      </w:r>
    </w:p>
    <w:p>
      <w:pPr>
        <w:ind w:firstLine="560" w:firstLineChars="200"/>
        <w:rPr>
          <w:sz w:val="28"/>
          <w:szCs w:val="28"/>
        </w:rPr>
      </w:pPr>
      <w:r>
        <w:rPr>
          <w:rFonts w:hint="eastAsia"/>
          <w:sz w:val="28"/>
          <w:szCs w:val="28"/>
        </w:rPr>
        <w:t>1、估价机构分立，应当将估价档案移交承继原房地产估价机构备案主体的一方；</w:t>
      </w:r>
    </w:p>
    <w:p>
      <w:pPr>
        <w:ind w:firstLine="560" w:firstLineChars="200"/>
        <w:rPr>
          <w:sz w:val="28"/>
          <w:szCs w:val="28"/>
        </w:rPr>
      </w:pPr>
      <w:r>
        <w:rPr>
          <w:rFonts w:hint="eastAsia"/>
          <w:sz w:val="28"/>
          <w:szCs w:val="28"/>
        </w:rPr>
        <w:t>2、估价机构合并，应当将估价档案移交合并后存续或者新设立的估价机构；</w:t>
      </w:r>
    </w:p>
    <w:p>
      <w:pPr>
        <w:ind w:firstLine="560" w:firstLineChars="200"/>
        <w:rPr>
          <w:sz w:val="28"/>
          <w:szCs w:val="28"/>
        </w:rPr>
      </w:pPr>
      <w:r>
        <w:rPr>
          <w:rFonts w:hint="eastAsia"/>
          <w:sz w:val="28"/>
          <w:szCs w:val="28"/>
        </w:rPr>
        <w:t>3、估价机构终止，应当将估价档案移交所属地区档案馆。档案馆根据档案价值确定接收或者有偿代管。</w:t>
      </w:r>
    </w:p>
    <w:p>
      <w:pPr>
        <w:ind w:firstLine="562" w:firstLineChars="200"/>
        <w:rPr>
          <w:sz w:val="28"/>
          <w:szCs w:val="28"/>
        </w:rPr>
      </w:pPr>
      <w:r>
        <w:rPr>
          <w:rFonts w:hint="eastAsia"/>
          <w:b/>
          <w:sz w:val="28"/>
          <w:szCs w:val="28"/>
        </w:rPr>
        <w:t xml:space="preserve">第二十一条  关联档案  </w:t>
      </w:r>
      <w:r>
        <w:rPr>
          <w:rFonts w:hint="eastAsia"/>
          <w:sz w:val="28"/>
          <w:szCs w:val="28"/>
        </w:rPr>
        <w:t>两家及以上估价机构合作承担同一估价项目的，应当共同协商确定一家估价机构为牵头单位，加强对估价项目档案原件或复印件的区分管理，其他合作方应同步保存相关档案。</w:t>
      </w:r>
    </w:p>
    <w:p>
      <w:pPr>
        <w:spacing w:before="187" w:beforeLines="60" w:after="187" w:afterLines="60"/>
        <w:jc w:val="center"/>
        <w:rPr>
          <w:rFonts w:ascii="黑体" w:hAnsi="黑体" w:eastAsia="黑体" w:cs="黑体"/>
          <w:b/>
          <w:sz w:val="30"/>
          <w:szCs w:val="30"/>
        </w:rPr>
      </w:pPr>
      <w:r>
        <w:rPr>
          <w:rFonts w:hint="eastAsia" w:ascii="黑体" w:hAnsi="黑体" w:eastAsia="黑体" w:cs="黑体"/>
          <w:b/>
          <w:sz w:val="30"/>
          <w:szCs w:val="30"/>
        </w:rPr>
        <w:t>第四章  风险提示</w:t>
      </w:r>
    </w:p>
    <w:p>
      <w:pPr>
        <w:ind w:firstLine="562" w:firstLineChars="200"/>
        <w:rPr>
          <w:sz w:val="28"/>
          <w:szCs w:val="28"/>
        </w:rPr>
      </w:pPr>
      <w:r>
        <w:rPr>
          <w:rFonts w:hint="eastAsia"/>
          <w:b/>
          <w:sz w:val="28"/>
          <w:szCs w:val="28"/>
        </w:rPr>
        <w:t xml:space="preserve">第二十二条  </w:t>
      </w:r>
      <w:r>
        <w:rPr>
          <w:rFonts w:hint="eastAsia"/>
          <w:sz w:val="28"/>
          <w:szCs w:val="28"/>
        </w:rPr>
        <w:t>估价机构（包括分支机构）未按规定期限和保管要求做好估价档案保存，造成不良后果的，应给予自律惩戒，涉嫌违规行为将被行政主管部门（或机构备案管理部门）查处追究，涉嫌犯罪者将承担相应的法律责任。</w:t>
      </w:r>
    </w:p>
    <w:p>
      <w:pPr>
        <w:ind w:firstLine="562" w:firstLineChars="200"/>
        <w:rPr>
          <w:sz w:val="28"/>
          <w:szCs w:val="28"/>
        </w:rPr>
      </w:pPr>
      <w:r>
        <w:rPr>
          <w:rFonts w:hint="eastAsia"/>
          <w:b/>
          <w:sz w:val="28"/>
          <w:szCs w:val="28"/>
        </w:rPr>
        <w:t xml:space="preserve">第二十三条  </w:t>
      </w:r>
      <w:r>
        <w:rPr>
          <w:rFonts w:hint="eastAsia"/>
          <w:sz w:val="28"/>
          <w:szCs w:val="28"/>
        </w:rPr>
        <w:t>估价机构（包括分支机构）及相关责任人员违反本指引规定，给估价委托人或其他相关当事人造成损失的，由所在估价机构依法先承担赔偿责任。估价机构履行赔偿责任后，可以向故意或重大过失行为的相关责任人进行追偿。</w:t>
      </w:r>
    </w:p>
    <w:p>
      <w:pPr>
        <w:spacing w:before="187" w:beforeLines="60" w:after="187" w:afterLines="60"/>
        <w:jc w:val="center"/>
        <w:rPr>
          <w:rFonts w:ascii="黑体" w:hAnsi="黑体" w:eastAsia="黑体" w:cs="黑体"/>
          <w:b/>
          <w:sz w:val="30"/>
          <w:szCs w:val="30"/>
        </w:rPr>
      </w:pPr>
      <w:r>
        <w:rPr>
          <w:rFonts w:hint="eastAsia" w:ascii="黑体" w:hAnsi="黑体" w:eastAsia="黑体" w:cs="黑体"/>
          <w:b/>
          <w:sz w:val="30"/>
          <w:szCs w:val="30"/>
        </w:rPr>
        <w:t>第五章  附则</w:t>
      </w:r>
    </w:p>
    <w:p>
      <w:pPr>
        <w:ind w:firstLine="562" w:firstLineChars="200"/>
        <w:rPr>
          <w:sz w:val="28"/>
          <w:szCs w:val="28"/>
        </w:rPr>
      </w:pPr>
      <w:r>
        <w:rPr>
          <w:rFonts w:hint="eastAsia"/>
          <w:b/>
          <w:sz w:val="28"/>
          <w:szCs w:val="28"/>
        </w:rPr>
        <w:t>第二十四条</w:t>
      </w:r>
      <w:r>
        <w:rPr>
          <w:rFonts w:hint="eastAsia"/>
          <w:sz w:val="28"/>
          <w:szCs w:val="28"/>
        </w:rPr>
        <w:t xml:space="preserve">  本指引由福建省房地产业协会发布，依据估价行业发展实时更新。</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BmNTdlM2UzNTBjNGMyYmVlOTI5YjVhNTU5ZDEifQ=="/>
  </w:docVars>
  <w:rsids>
    <w:rsidRoot w:val="00C84959"/>
    <w:rsid w:val="0000179E"/>
    <w:rsid w:val="00093785"/>
    <w:rsid w:val="000B42F6"/>
    <w:rsid w:val="000F12AB"/>
    <w:rsid w:val="001306F8"/>
    <w:rsid w:val="00164AC8"/>
    <w:rsid w:val="00167C8B"/>
    <w:rsid w:val="00180579"/>
    <w:rsid w:val="001E2BA5"/>
    <w:rsid w:val="002078C0"/>
    <w:rsid w:val="00242E44"/>
    <w:rsid w:val="0027798E"/>
    <w:rsid w:val="002A154D"/>
    <w:rsid w:val="002B61B8"/>
    <w:rsid w:val="002D4761"/>
    <w:rsid w:val="002E2AE1"/>
    <w:rsid w:val="002F0BCC"/>
    <w:rsid w:val="00310DCB"/>
    <w:rsid w:val="00315475"/>
    <w:rsid w:val="00337FE0"/>
    <w:rsid w:val="00366727"/>
    <w:rsid w:val="003B17AE"/>
    <w:rsid w:val="003D500C"/>
    <w:rsid w:val="003E6488"/>
    <w:rsid w:val="003F43C0"/>
    <w:rsid w:val="00401C52"/>
    <w:rsid w:val="0042256F"/>
    <w:rsid w:val="00422DAA"/>
    <w:rsid w:val="00443855"/>
    <w:rsid w:val="004A14E4"/>
    <w:rsid w:val="004B5BCD"/>
    <w:rsid w:val="004E19AD"/>
    <w:rsid w:val="00536D7A"/>
    <w:rsid w:val="005B2957"/>
    <w:rsid w:val="006135D1"/>
    <w:rsid w:val="00624D5A"/>
    <w:rsid w:val="0069042A"/>
    <w:rsid w:val="006B33B2"/>
    <w:rsid w:val="006F1CBD"/>
    <w:rsid w:val="00711501"/>
    <w:rsid w:val="0071296C"/>
    <w:rsid w:val="00717D4C"/>
    <w:rsid w:val="007238AC"/>
    <w:rsid w:val="0077293E"/>
    <w:rsid w:val="007A496D"/>
    <w:rsid w:val="007B1D08"/>
    <w:rsid w:val="007D32A5"/>
    <w:rsid w:val="00816C52"/>
    <w:rsid w:val="00830B10"/>
    <w:rsid w:val="008419C1"/>
    <w:rsid w:val="008452FB"/>
    <w:rsid w:val="00891768"/>
    <w:rsid w:val="008B41DE"/>
    <w:rsid w:val="0092518C"/>
    <w:rsid w:val="009366A7"/>
    <w:rsid w:val="009927D9"/>
    <w:rsid w:val="009F4DBB"/>
    <w:rsid w:val="00A22079"/>
    <w:rsid w:val="00A40D93"/>
    <w:rsid w:val="00A6256A"/>
    <w:rsid w:val="00A72093"/>
    <w:rsid w:val="00AB12E5"/>
    <w:rsid w:val="00AB7088"/>
    <w:rsid w:val="00AC7218"/>
    <w:rsid w:val="00AE445C"/>
    <w:rsid w:val="00B13762"/>
    <w:rsid w:val="00B44152"/>
    <w:rsid w:val="00BA2039"/>
    <w:rsid w:val="00BC00CA"/>
    <w:rsid w:val="00BC2635"/>
    <w:rsid w:val="00BC4D9E"/>
    <w:rsid w:val="00BD44A7"/>
    <w:rsid w:val="00BE3E11"/>
    <w:rsid w:val="00BF798E"/>
    <w:rsid w:val="00C150CE"/>
    <w:rsid w:val="00C30007"/>
    <w:rsid w:val="00C76230"/>
    <w:rsid w:val="00C831CB"/>
    <w:rsid w:val="00C84959"/>
    <w:rsid w:val="00C940F4"/>
    <w:rsid w:val="00CC7BF8"/>
    <w:rsid w:val="00CD5564"/>
    <w:rsid w:val="00CD6344"/>
    <w:rsid w:val="00D4492E"/>
    <w:rsid w:val="00DA47D3"/>
    <w:rsid w:val="00E14395"/>
    <w:rsid w:val="00E21554"/>
    <w:rsid w:val="00E464FB"/>
    <w:rsid w:val="00E7054B"/>
    <w:rsid w:val="00E9548F"/>
    <w:rsid w:val="00EA435E"/>
    <w:rsid w:val="00ED21E3"/>
    <w:rsid w:val="00ED4252"/>
    <w:rsid w:val="00ED6B18"/>
    <w:rsid w:val="00EE670B"/>
    <w:rsid w:val="00F21AFF"/>
    <w:rsid w:val="00F259C2"/>
    <w:rsid w:val="00F33A83"/>
    <w:rsid w:val="00F9682A"/>
    <w:rsid w:val="00FD17F0"/>
    <w:rsid w:val="0198159D"/>
    <w:rsid w:val="01C854B6"/>
    <w:rsid w:val="03560BCC"/>
    <w:rsid w:val="0500425D"/>
    <w:rsid w:val="056D52E8"/>
    <w:rsid w:val="076408CD"/>
    <w:rsid w:val="0A6F2980"/>
    <w:rsid w:val="0A8E7C0C"/>
    <w:rsid w:val="0B274E32"/>
    <w:rsid w:val="0DC444A6"/>
    <w:rsid w:val="0EAC3B03"/>
    <w:rsid w:val="12C10AFC"/>
    <w:rsid w:val="134A6C68"/>
    <w:rsid w:val="14211CDE"/>
    <w:rsid w:val="169D7770"/>
    <w:rsid w:val="1AD35FCF"/>
    <w:rsid w:val="227E06DD"/>
    <w:rsid w:val="243A0F8D"/>
    <w:rsid w:val="24DC442B"/>
    <w:rsid w:val="288F710C"/>
    <w:rsid w:val="2E67296D"/>
    <w:rsid w:val="2EC8267F"/>
    <w:rsid w:val="2EE86C5A"/>
    <w:rsid w:val="31615A45"/>
    <w:rsid w:val="3227659B"/>
    <w:rsid w:val="38D44F58"/>
    <w:rsid w:val="39C95CEC"/>
    <w:rsid w:val="3B5B3541"/>
    <w:rsid w:val="3CE67DC0"/>
    <w:rsid w:val="3D980DCC"/>
    <w:rsid w:val="3FC52BCE"/>
    <w:rsid w:val="47B71229"/>
    <w:rsid w:val="4BC46037"/>
    <w:rsid w:val="4D517263"/>
    <w:rsid w:val="4EE506B9"/>
    <w:rsid w:val="553843EE"/>
    <w:rsid w:val="56034E45"/>
    <w:rsid w:val="56ED1ABE"/>
    <w:rsid w:val="583141E4"/>
    <w:rsid w:val="58EE31BF"/>
    <w:rsid w:val="5A884C0B"/>
    <w:rsid w:val="5C220502"/>
    <w:rsid w:val="5C6D4C62"/>
    <w:rsid w:val="5C8C7556"/>
    <w:rsid w:val="5D7A0AAA"/>
    <w:rsid w:val="61CE421D"/>
    <w:rsid w:val="637970C3"/>
    <w:rsid w:val="66E454A1"/>
    <w:rsid w:val="66E91151"/>
    <w:rsid w:val="69345B86"/>
    <w:rsid w:val="6ADE5F45"/>
    <w:rsid w:val="6C3C5F60"/>
    <w:rsid w:val="6EF15944"/>
    <w:rsid w:val="705103B4"/>
    <w:rsid w:val="7161371C"/>
    <w:rsid w:val="71EB6A93"/>
    <w:rsid w:val="73CE09CB"/>
    <w:rsid w:val="7762557A"/>
    <w:rsid w:val="7EBB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F8326-96A3-410C-AE93-79F07C8117EB}">
  <ds:schemaRefs/>
</ds:datastoreItem>
</file>

<file path=docProps/app.xml><?xml version="1.0" encoding="utf-8"?>
<Properties xmlns="http://schemas.openxmlformats.org/officeDocument/2006/extended-properties" xmlns:vt="http://schemas.openxmlformats.org/officeDocument/2006/docPropsVTypes">
  <Template>Normal</Template>
  <Pages>6</Pages>
  <Words>3687</Words>
  <Characters>3706</Characters>
  <Lines>27</Lines>
  <Paragraphs>7</Paragraphs>
  <TotalTime>1279</TotalTime>
  <ScaleCrop>false</ScaleCrop>
  <LinksUpToDate>false</LinksUpToDate>
  <CharactersWithSpaces>3790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2024-05-23T01:09:00Z</dcterms:created>
  <dc:creator>Administrator</dc:creator>
  <cp:lastModifiedBy>嫣然一笑</cp:lastModifiedBy>
  <dcterms:modified xsi:type="dcterms:W3CDTF">2024-05-27T09:12:03Z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2BD0A7F40157466E9500DF1C8AB78314_13</vt:lpwstr>
  </property>
</Properties>
</file>