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bCs/>
          <w:sz w:val="36"/>
          <w:szCs w:val="36"/>
        </w:rPr>
      </w:pPr>
      <w:bookmarkStart w:id="0" w:name="_GoBack"/>
      <w:bookmarkEnd w:id="0"/>
      <w:r>
        <w:rPr>
          <w:rFonts w:hint="eastAsia" w:ascii="黑体" w:hAnsi="黑体" w:eastAsia="黑体"/>
          <w:b/>
          <w:bCs/>
          <w:sz w:val="36"/>
          <w:szCs w:val="36"/>
        </w:rPr>
        <w:t>福建省房地产业协会估价专家库管理办法</w:t>
      </w:r>
    </w:p>
    <w:p>
      <w:pPr>
        <w:jc w:val="center"/>
        <w:rPr>
          <w:sz w:val="28"/>
          <w:szCs w:val="28"/>
        </w:rPr>
      </w:pPr>
      <w:r>
        <w:rPr>
          <w:rFonts w:hint="eastAsia"/>
          <w:sz w:val="28"/>
          <w:szCs w:val="28"/>
        </w:rPr>
        <w:t>（公示稿）</w:t>
      </w:r>
    </w:p>
    <w:p>
      <w:pPr>
        <w:spacing w:before="249" w:beforeLines="80" w:after="249" w:afterLines="80"/>
        <w:jc w:val="center"/>
        <w:rPr>
          <w:sz w:val="28"/>
          <w:szCs w:val="28"/>
        </w:rPr>
      </w:pPr>
      <w:r>
        <w:rPr>
          <w:rFonts w:hint="eastAsia" w:ascii="黑体" w:hAnsi="黑体" w:eastAsia="黑体"/>
          <w:sz w:val="28"/>
          <w:szCs w:val="28"/>
        </w:rPr>
        <w:t>第一章</w:t>
      </w:r>
      <w:r>
        <w:rPr>
          <w:rFonts w:hint="eastAsia" w:ascii="黑体" w:hAnsi="黑体" w:eastAsia="黑体"/>
          <w:sz w:val="28"/>
          <w:szCs w:val="28"/>
        </w:rPr>
        <w:tab/>
      </w:r>
      <w:r>
        <w:rPr>
          <w:rFonts w:hint="eastAsia" w:ascii="黑体" w:hAnsi="黑体" w:eastAsia="黑体"/>
          <w:sz w:val="28"/>
          <w:szCs w:val="28"/>
        </w:rPr>
        <w:t>总则</w:t>
      </w:r>
    </w:p>
    <w:p>
      <w:pPr>
        <w:rPr>
          <w:color w:val="000000" w:themeColor="text1"/>
          <w:sz w:val="28"/>
          <w:szCs w:val="28"/>
          <w14:textFill>
            <w14:solidFill>
              <w14:schemeClr w14:val="tx1"/>
            </w14:solidFill>
          </w14:textFill>
        </w:rPr>
      </w:pPr>
      <w:r>
        <w:rPr>
          <w:rFonts w:hint="eastAsia"/>
          <w:sz w:val="28"/>
          <w:szCs w:val="28"/>
        </w:rPr>
        <w:t>　</w:t>
      </w:r>
      <w:r>
        <w:rPr>
          <w:rFonts w:hint="eastAsia"/>
          <w:color w:val="000000" w:themeColor="text1"/>
          <w:sz w:val="28"/>
          <w:szCs w:val="28"/>
          <w14:textFill>
            <w14:solidFill>
              <w14:schemeClr w14:val="tx1"/>
            </w14:solidFill>
          </w14:textFill>
        </w:rPr>
        <w:t>　</w:t>
      </w:r>
      <w:r>
        <w:rPr>
          <w:rFonts w:hint="eastAsia" w:ascii="黑体" w:hAnsi="黑体" w:eastAsia="黑体" w:cs="黑体"/>
          <w:b/>
          <w:color w:val="000000" w:themeColor="text1"/>
          <w:sz w:val="28"/>
          <w:szCs w:val="28"/>
          <w14:textFill>
            <w14:solidFill>
              <w14:schemeClr w14:val="tx1"/>
            </w14:solidFill>
          </w14:textFill>
        </w:rPr>
        <w:t xml:space="preserve">第一条 制定目的  </w:t>
      </w:r>
      <w:r>
        <w:rPr>
          <w:rFonts w:hint="eastAsia"/>
          <w:color w:val="000000" w:themeColor="text1"/>
          <w:sz w:val="28"/>
          <w:szCs w:val="28"/>
          <w14:textFill>
            <w14:solidFill>
              <w14:schemeClr w14:val="tx1"/>
            </w14:solidFill>
          </w14:textFill>
        </w:rPr>
        <w:t>科技是第一生产力</w:t>
      </w:r>
      <w:r>
        <w:rPr>
          <w:color w:val="000000" w:themeColor="text1"/>
          <w:sz w:val="28"/>
          <w:szCs w:val="28"/>
          <w14:textFill>
            <w14:solidFill>
              <w14:schemeClr w14:val="tx1"/>
            </w14:solidFill>
          </w14:textFill>
        </w:rPr>
        <w:t>、人才是第一资源、创新是第一动力</w:t>
      </w:r>
      <w:r>
        <w:rPr>
          <w:rFonts w:hint="eastAsia"/>
          <w:color w:val="000000" w:themeColor="text1"/>
          <w:sz w:val="28"/>
          <w:szCs w:val="28"/>
          <w14:textFill>
            <w14:solidFill>
              <w14:schemeClr w14:val="tx1"/>
            </w14:solidFill>
          </w14:textFill>
        </w:rPr>
        <w:t>，为充分发挥房地产估价师以及专家团队的专业积累与技术特长，集行业智慧，完善新时期估价理论体系，建立健全适合本区域估价行业技术与发展的团体标准，促进估价技术水平不断提升，维护估价报告鉴定和质量评审技术的公正性，提升社会公信力，规避系统性风险，坚守行业生存底线，适应更广泛的社会需求和企业需要，根据《福建省房地产业协会章程》《福建省房地产业协会估价委员会议事规则》和估价行业发展规划，制定本办法。</w:t>
      </w:r>
    </w:p>
    <w:p>
      <w:pPr>
        <w:ind w:firstLine="563"/>
        <w:rPr>
          <w:color w:val="000000" w:themeColor="text1"/>
          <w:sz w:val="28"/>
          <w:szCs w:val="28"/>
          <w14:textFill>
            <w14:solidFill>
              <w14:schemeClr w14:val="tx1"/>
            </w14:solidFill>
          </w14:textFill>
        </w:rPr>
      </w:pPr>
      <w:r>
        <w:rPr>
          <w:rFonts w:hint="eastAsia" w:ascii="黑体" w:hAnsi="黑体" w:eastAsia="黑体" w:cs="黑体"/>
          <w:b/>
          <w:color w:val="000000" w:themeColor="text1"/>
          <w:sz w:val="28"/>
          <w:szCs w:val="28"/>
          <w14:textFill>
            <w14:solidFill>
              <w14:schemeClr w14:val="tx1"/>
            </w14:solidFill>
          </w14:textFill>
        </w:rPr>
        <w:t>第二条 组织管理</w:t>
      </w:r>
      <w:r>
        <w:rPr>
          <w:rFonts w:hint="eastAsia"/>
          <w:color w:val="000000" w:themeColor="text1"/>
          <w:sz w:val="28"/>
          <w:szCs w:val="28"/>
          <w14:textFill>
            <w14:solidFill>
              <w14:schemeClr w14:val="tx1"/>
            </w14:solidFill>
          </w14:textFill>
        </w:rPr>
        <w:t xml:space="preserve">  福建省房地产业协会（以下统称：协会）负责组建、管理福建省房地产业协会估价专家库（以下统称：专家库）。</w:t>
      </w:r>
    </w:p>
    <w:p>
      <w:pPr>
        <w:ind w:firstLine="563"/>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本专家库为福建估价行业一级专家库，已设立的福建涉执房地产估价报告专业技术评审专家库、福建省房地产估价专家库，以及拟成立的福建国有土地上房屋征收评估鉴定专家库、其他估价技术专家库为估价行业的二级专家库。二级专家库与本专家库一同构成福建房地产估价行业的专家库组织体系，形成行业专家团队。</w:t>
      </w:r>
    </w:p>
    <w:p>
      <w:pPr>
        <w:ind w:firstLine="563"/>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本专家库受政府行政管理部门或协会的委托、授权后，可对相关二级专家库进行统一管理或业务指导；在必要时接受指派，承担二级专家库涉及的估价疑难案子或争议事项、房地产估价报告的评审、复审等工作，向政府相关职能部门、相关单位提供房地产估价技术评审意见和专业建议书。</w:t>
      </w:r>
    </w:p>
    <w:p>
      <w:pPr>
        <w:ind w:firstLine="563"/>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二级专家库的组建、入库专家类别与条件、申请流程、权利与义务、工作原则、履职评价、公众监督、日常管理与维护等运行机制均可参照本管理办法，但专家入选条件和专家资格授予方式可结合二级专家库业务特点进行重新设定，并予以公告。本专家库专家可以加入二级专家库，也鼓励二级专家库符合条件的优秀专家申请，经考核后进入本专家库。</w:t>
      </w:r>
    </w:p>
    <w:p>
      <w:pPr>
        <w:ind w:firstLine="563"/>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各专家库应强化专家团队动态管理，做好专家履职评价、及时增补符合条件的专家、按优胜劣汰原则及时清退明显违规或考核不合格的专家，保持专家库持续更新，提升专家活力和专业能力。</w:t>
      </w:r>
    </w:p>
    <w:p>
      <w:pPr>
        <w:ind w:firstLine="563"/>
        <w:rPr>
          <w:color w:val="000000" w:themeColor="text1"/>
          <w:sz w:val="28"/>
          <w:szCs w:val="28"/>
          <w14:textFill>
            <w14:solidFill>
              <w14:schemeClr w14:val="tx1"/>
            </w14:solidFill>
          </w14:textFill>
        </w:rPr>
      </w:pPr>
      <w:r>
        <w:rPr>
          <w:rFonts w:hint="eastAsia" w:ascii="黑体" w:hAnsi="黑体" w:eastAsia="黑体" w:cs="黑体"/>
          <w:b/>
          <w:color w:val="000000" w:themeColor="text1"/>
          <w:sz w:val="28"/>
          <w:szCs w:val="28"/>
          <w14:textFill>
            <w14:solidFill>
              <w14:schemeClr w14:val="tx1"/>
            </w14:solidFill>
          </w14:textFill>
        </w:rPr>
        <w:t xml:space="preserve">第三条 基本职责  </w:t>
      </w:r>
      <w:r>
        <w:rPr>
          <w:rFonts w:hint="eastAsia"/>
          <w:color w:val="000000" w:themeColor="text1"/>
          <w:sz w:val="28"/>
          <w:szCs w:val="28"/>
          <w14:textFill>
            <w14:solidFill>
              <w14:schemeClr w14:val="tx1"/>
            </w14:solidFill>
          </w14:textFill>
        </w:rPr>
        <w:t>专家库自觉接受政府监管、协会管理的和公众监督，坚持廉洁自律，坚持独立、客观、公正的职业操守；确立科学发展观，强化奉献、履职、履责意识；发挥专家主观能动性，提升专业素养，加强政策和理论的学习，攻克专业技术难题，承担科研或技术课题，编制技术指引、团体标准、行业标准等指导性文件，为行业赋能。在协会的领导下积极面对行业发展困境和行业重大技术挑战、紧急技术性事件，发挥行业智囊和专家学者的作用。</w:t>
      </w:r>
    </w:p>
    <w:p>
      <w:pPr>
        <w:spacing w:before="249" w:beforeLines="80" w:after="249" w:afterLines="80"/>
        <w:jc w:val="center"/>
        <w:rPr>
          <w:rFonts w:ascii="黑体" w:hAnsi="黑体" w:eastAsia="黑体"/>
          <w:sz w:val="28"/>
          <w:szCs w:val="28"/>
        </w:rPr>
      </w:pPr>
      <w:r>
        <w:rPr>
          <w:rFonts w:hint="eastAsia" w:ascii="黑体" w:hAnsi="黑体" w:eastAsia="黑体"/>
          <w:sz w:val="28"/>
          <w:szCs w:val="28"/>
        </w:rPr>
        <w:t>第二章</w:t>
      </w:r>
      <w:r>
        <w:rPr>
          <w:rFonts w:hint="eastAsia" w:ascii="黑体" w:hAnsi="黑体" w:eastAsia="黑体"/>
          <w:sz w:val="28"/>
          <w:szCs w:val="28"/>
        </w:rPr>
        <w:tab/>
      </w:r>
      <w:r>
        <w:rPr>
          <w:rFonts w:hint="eastAsia" w:ascii="黑体" w:hAnsi="黑体" w:eastAsia="黑体"/>
          <w:sz w:val="28"/>
          <w:szCs w:val="28"/>
        </w:rPr>
        <w:t>专家类别及条件</w:t>
      </w:r>
    </w:p>
    <w:p>
      <w:pPr>
        <w:ind w:firstLine="562" w:firstLineChars="200"/>
        <w:rPr>
          <w:color w:val="000000" w:themeColor="text1"/>
          <w:sz w:val="28"/>
          <w:szCs w:val="28"/>
          <w14:textFill>
            <w14:solidFill>
              <w14:schemeClr w14:val="tx1"/>
            </w14:solidFill>
          </w14:textFill>
        </w:rPr>
      </w:pPr>
      <w:r>
        <w:rPr>
          <w:rFonts w:hint="eastAsia" w:ascii="黑体" w:hAnsi="黑体" w:eastAsia="黑体" w:cs="黑体"/>
          <w:b/>
          <w:color w:val="000000" w:themeColor="text1"/>
          <w:sz w:val="28"/>
          <w:szCs w:val="28"/>
          <w14:textFill>
            <w14:solidFill>
              <w14:schemeClr w14:val="tx1"/>
            </w14:solidFill>
          </w14:textFill>
        </w:rPr>
        <w:t>第四条 组建原则</w:t>
      </w:r>
      <w:r>
        <w:rPr>
          <w:rFonts w:hint="eastAsia"/>
          <w:color w:val="000000" w:themeColor="text1"/>
          <w:sz w:val="28"/>
          <w:szCs w:val="28"/>
          <w14:textFill>
            <w14:solidFill>
              <w14:schemeClr w14:val="tx1"/>
            </w14:solidFill>
          </w14:textFill>
        </w:rPr>
        <w:t xml:space="preserve"> 专家团队建设本着精干</w:t>
      </w:r>
      <w:r>
        <w:rPr>
          <w:color w:val="000000" w:themeColor="text1"/>
          <w:sz w:val="28"/>
          <w:szCs w:val="28"/>
          <w14:textFill>
            <w14:solidFill>
              <w14:schemeClr w14:val="tx1"/>
            </w14:solidFill>
          </w14:textFill>
        </w:rPr>
        <w:t>高效</w:t>
      </w:r>
      <w:r>
        <w:rPr>
          <w:rFonts w:hint="eastAsia"/>
          <w:color w:val="000000" w:themeColor="text1"/>
          <w:sz w:val="28"/>
          <w:szCs w:val="28"/>
          <w14:textFill>
            <w14:solidFill>
              <w14:schemeClr w14:val="tx1"/>
            </w14:solidFill>
          </w14:textFill>
        </w:rPr>
        <w:t>、宁缺毋滥的原则。</w:t>
      </w:r>
    </w:p>
    <w:p>
      <w:pPr>
        <w:numPr>
          <w:ilvl w:val="0"/>
          <w:numId w:val="1"/>
        </w:numPr>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专家库设立：常务专家，也称主审专家（最多不超过9人）、行业专家（最多不超过45人），统称：专家。专家名单由协会统一在官网上公告，并及时更新。协会根据发展需要，可进一步设立青年专家库（最多不超过15人），旨在培养年轻专家队伍，做好技术传承和管理梯队建设。</w:t>
      </w:r>
    </w:p>
    <w:p>
      <w:pPr>
        <w:numPr>
          <w:ilvl w:val="0"/>
          <w:numId w:val="1"/>
        </w:numPr>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专家库设立主任专家一名，副主任专家一至二名，作为专家库技术、专项工作、日常工作的组织负责人，以上人选在常务专家库中产生，占用其名额。</w:t>
      </w:r>
    </w:p>
    <w:p>
      <w:pPr>
        <w:numPr>
          <w:ilvl w:val="0"/>
          <w:numId w:val="1"/>
        </w:numPr>
        <w:ind w:firstLine="560" w:firstLineChars="200"/>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坚持权利与义务对等原则，充分尊重专业意见，专家对出具的技术鉴定、专业评审意见终身负责。</w:t>
      </w:r>
    </w:p>
    <w:p>
      <w:pPr>
        <w:ind w:firstLine="560" w:firstLineChars="200"/>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专家库专家在承担专业任务或技术评审、鉴定项目时，一般情况下应采用项目组的方式进行，项目组专家人数应为奇数，一般为三人，其中牵头人或召集人一名，由常务专家担任；成员二名，可由常务专家或行业专家担任，项目组全体成员具有同等的权利和责任。</w:t>
      </w:r>
    </w:p>
    <w:p>
      <w:pPr>
        <w:ind w:firstLine="560" w:firstLineChars="200"/>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当涉及复杂项目时，专家组可增加常务专家的占比，或全部由常务专家组成，或另行邀请院校或社会专家教授学者共同参与。</w:t>
      </w:r>
    </w:p>
    <w:p>
      <w:pPr>
        <w:ind w:firstLine="560" w:firstLineChars="200"/>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简易评审工作或技术任务时，可抽取一名专家独立承担。</w:t>
      </w:r>
    </w:p>
    <w:p>
      <w:pPr>
        <w:numPr>
          <w:ilvl w:val="0"/>
          <w:numId w:val="1"/>
        </w:numPr>
        <w:ind w:firstLine="560" w:firstLineChars="200"/>
        <w:rPr>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组织课题研究或编制行业标准、团体标准或其他专项任务，由主任或副主任专家负责组织，广泛邀请专业人员或学者参与。</w:t>
      </w:r>
    </w:p>
    <w:p>
      <w:pPr>
        <w:ind w:firstLine="562" w:firstLineChars="200"/>
        <w:rPr>
          <w:color w:val="000000" w:themeColor="text1"/>
          <w:sz w:val="28"/>
          <w:szCs w:val="28"/>
          <w14:textFill>
            <w14:solidFill>
              <w14:schemeClr w14:val="tx1"/>
            </w14:solidFill>
          </w14:textFill>
        </w:rPr>
      </w:pPr>
      <w:r>
        <w:rPr>
          <w:rFonts w:hint="eastAsia" w:ascii="黑体" w:hAnsi="黑体" w:eastAsia="黑体" w:cs="黑体"/>
          <w:b/>
          <w:color w:val="000000" w:themeColor="text1"/>
          <w:sz w:val="28"/>
          <w:szCs w:val="28"/>
          <w14:textFill>
            <w14:solidFill>
              <w14:schemeClr w14:val="tx1"/>
            </w14:solidFill>
          </w14:textFill>
        </w:rPr>
        <w:t>第五条 入选条件</w:t>
      </w:r>
      <w:r>
        <w:rPr>
          <w:rFonts w:hint="eastAsia"/>
          <w:color w:val="000000" w:themeColor="text1"/>
          <w:sz w:val="28"/>
          <w:szCs w:val="28"/>
          <w14:textFill>
            <w14:solidFill>
              <w14:schemeClr w14:val="tx1"/>
            </w14:solidFill>
          </w14:textFill>
        </w:rPr>
        <w:t xml:space="preserve"> 入选专家库的专家应有政治站位、底线思维、勇担责任、与时俱进，具备较强的社会经济和技术发展的敏锐洞察力，还应同时符合以下条件：</w:t>
      </w:r>
    </w:p>
    <w:p>
      <w:pPr>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（一）政治素质好，坚决拥护党和国家的路线、方针、政策，且具有良好的行业声誉、职业道德，无犯罪记录，无行政处罚记录等不良信用记录。</w:t>
      </w:r>
    </w:p>
    <w:p>
      <w:pPr>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（二）熟悉估价行业法律、法规、规章制度、技术规范和行业标准；具有较高的专业素养、房地产估价理论水平，以及丰富的实践经验，广博的知识面，并在行业享较好的专业技术威望或影响力。</w:t>
      </w:r>
    </w:p>
    <w:p>
      <w:pPr>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（三）持有注册房地产估价师资格后的累计执业时间，常务专家不少于15年，行业专家不少于10年。</w:t>
      </w:r>
    </w:p>
    <w:p>
      <w:pPr>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四）热心行业工作和公益事业，有奉献精神，客观公正、严谨认真，理论功底扎实，较好的概括总结能力以及演讲和沟通能力，日常积极参与承接中国房地产估价师与房地产经纪人学会、本协会组织的课题研究、技术研讨、规范汇编、专业分享、专业鉴定和技术评审任务。</w:t>
      </w:r>
    </w:p>
    <w:p>
      <w:pPr>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（五）身体健康，行动方便，无传染性疾病，能够独立胜任专家工作，且年龄不超过70周岁。</w:t>
      </w:r>
    </w:p>
    <w:p>
      <w:pPr>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（六）专家的聘期不应超过协会本届理事会的任期，但可跨届连选连任。</w:t>
      </w:r>
    </w:p>
    <w:p>
      <w:pPr>
        <w:ind w:firstLine="562" w:firstLineChars="200"/>
        <w:rPr>
          <w:color w:val="000000" w:themeColor="text1"/>
          <w:sz w:val="28"/>
          <w:szCs w:val="28"/>
          <w14:textFill>
            <w14:solidFill>
              <w14:schemeClr w14:val="tx1"/>
            </w14:solidFill>
          </w14:textFill>
        </w:rPr>
      </w:pPr>
      <w:r>
        <w:rPr>
          <w:rFonts w:hint="eastAsia" w:ascii="黑体" w:hAnsi="黑体" w:eastAsia="黑体" w:cs="黑体"/>
          <w:b/>
          <w:color w:val="000000" w:themeColor="text1"/>
          <w:sz w:val="28"/>
          <w:szCs w:val="28"/>
          <w14:textFill>
            <w14:solidFill>
              <w14:schemeClr w14:val="tx1"/>
            </w14:solidFill>
          </w14:textFill>
        </w:rPr>
        <w:t>第六条 持续发展</w:t>
      </w:r>
      <w:r>
        <w:rPr>
          <w:rFonts w:hint="eastAsia"/>
          <w:color w:val="000000" w:themeColor="text1"/>
          <w:sz w:val="28"/>
          <w:szCs w:val="28"/>
          <w14:textFill>
            <w14:solidFill>
              <w14:schemeClr w14:val="tx1"/>
            </w14:solidFill>
          </w14:textFill>
        </w:rPr>
        <w:t xml:space="preserve">  坚持科学发展观，专家库在每年三月固定时间向社会</w:t>
      </w:r>
      <w:r>
        <w:rPr>
          <w:rFonts w:hint="eastAsia"/>
          <w:color w:val="000000" w:themeColor="text1"/>
          <w:sz w:val="28"/>
          <w:szCs w:val="28"/>
          <w:lang w:val="en-US" w:eastAsia="zh-CN"/>
          <w14:textFill>
            <w14:solidFill>
              <w14:schemeClr w14:val="tx1"/>
            </w14:solidFill>
          </w14:textFill>
        </w:rPr>
        <w:t>开放</w:t>
      </w:r>
      <w:r>
        <w:rPr>
          <w:rFonts w:hint="eastAsia"/>
          <w:color w:val="000000" w:themeColor="text1"/>
          <w:sz w:val="28"/>
          <w:szCs w:val="28"/>
          <w14:textFill>
            <w14:solidFill>
              <w14:schemeClr w14:val="tx1"/>
            </w14:solidFill>
          </w14:textFill>
        </w:rPr>
        <w:t>接受一次候选人的申请，并开展专家入库工的评审作。当出现其他需要或特殊情况需要临时增补的情形，经请示协会同意后，可以根据工作安排，按本办法和程序进行非固定时间增补亟需的优秀新专家人选。</w:t>
      </w:r>
    </w:p>
    <w:p>
      <w:pPr>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对涉及行业发展的新兴领域或跨行业发展事项，可以根据协会工作实际需要，适当甄选新兴专业领域的专家、学者入库，每增加一个新领域或新行业，对应专家名额原则上不超过三名，免除本办法第四条（三）款要求，但应遵守本管理办法其他规定，经协会组织评审通过后统一公告入库，拥有在职专家的同等权利和义务。</w:t>
      </w:r>
    </w:p>
    <w:p>
      <w:pPr>
        <w:spacing w:before="249" w:beforeLines="80" w:after="249" w:afterLines="80"/>
        <w:jc w:val="center"/>
        <w:rPr>
          <w:rFonts w:ascii="黑体" w:hAnsi="黑体" w:eastAsia="黑体"/>
          <w:sz w:val="28"/>
          <w:szCs w:val="28"/>
        </w:rPr>
      </w:pPr>
      <w:r>
        <w:rPr>
          <w:rFonts w:hint="eastAsia" w:ascii="黑体" w:hAnsi="黑体" w:eastAsia="黑体"/>
          <w:sz w:val="28"/>
          <w:szCs w:val="28"/>
        </w:rPr>
        <w:t>第三章   申请、审核入库与终止资格</w:t>
      </w:r>
    </w:p>
    <w:p>
      <w:pPr>
        <w:ind w:firstLine="562" w:firstLineChars="200"/>
        <w:rPr>
          <w:color w:val="000000" w:themeColor="text1"/>
          <w:sz w:val="28"/>
          <w:szCs w:val="28"/>
          <w14:textFill>
            <w14:solidFill>
              <w14:schemeClr w14:val="tx1"/>
            </w14:solidFill>
          </w14:textFill>
        </w:rPr>
      </w:pPr>
      <w:r>
        <w:rPr>
          <w:rFonts w:hint="eastAsia" w:ascii="黑体" w:hAnsi="黑体" w:eastAsia="黑体" w:cs="黑体"/>
          <w:b/>
          <w:color w:val="000000" w:themeColor="text1"/>
          <w:sz w:val="28"/>
          <w:szCs w:val="28"/>
          <w14:textFill>
            <w14:solidFill>
              <w14:schemeClr w14:val="tx1"/>
            </w14:solidFill>
          </w14:textFill>
        </w:rPr>
        <w:t>第七条 申请方式</w:t>
      </w:r>
      <w:r>
        <w:rPr>
          <w:rFonts w:hint="eastAsia"/>
          <w:color w:val="000000" w:themeColor="text1"/>
          <w:sz w:val="28"/>
          <w:szCs w:val="28"/>
          <w14:textFill>
            <w14:solidFill>
              <w14:schemeClr w14:val="tx1"/>
            </w14:solidFill>
          </w14:textFill>
        </w:rPr>
        <w:t xml:space="preserve"> 符合本规则第二章要求的个人会员或机构会员的注册房地产估价师应按自愿原则，在协会通知的时限要求内，按本办法附件一《福建省房地产业协会估价专家申请表》如实填报，经机构会员、或设区市房地产估价协会、本协会（也适用个人会员、新兴领域或跨行业发展专家的申请）推荐作为候选人，进入遴选程序。</w:t>
      </w:r>
    </w:p>
    <w:p>
      <w:pPr>
        <w:ind w:firstLine="562" w:firstLineChars="200"/>
        <w:rPr>
          <w:color w:val="000000" w:themeColor="text1"/>
          <w:sz w:val="28"/>
          <w:szCs w:val="28"/>
          <w14:textFill>
            <w14:solidFill>
              <w14:schemeClr w14:val="tx1"/>
            </w14:solidFill>
          </w14:textFill>
        </w:rPr>
      </w:pPr>
      <w:r>
        <w:rPr>
          <w:rFonts w:hint="eastAsia" w:ascii="黑体" w:hAnsi="黑体" w:eastAsia="黑体" w:cs="黑体"/>
          <w:b/>
          <w:color w:val="000000" w:themeColor="text1"/>
          <w:sz w:val="28"/>
          <w:szCs w:val="28"/>
          <w14:textFill>
            <w14:solidFill>
              <w14:schemeClr w14:val="tx1"/>
            </w14:solidFill>
          </w14:textFill>
        </w:rPr>
        <w:t xml:space="preserve">第八条 审核要点 </w:t>
      </w:r>
      <w:r>
        <w:rPr>
          <w:rFonts w:hint="eastAsia"/>
          <w:color w:val="000000" w:themeColor="text1"/>
          <w:sz w:val="28"/>
          <w:szCs w:val="28"/>
          <w14:textFill>
            <w14:solidFill>
              <w14:schemeClr w14:val="tx1"/>
            </w14:solidFill>
          </w14:textFill>
        </w:rPr>
        <w:t>协会下属估价委员会秘书处按本办法附件二《福建省房地产业协会估价专家入选计分标准》进行初步评价计分，对达到基准分的候选人，在规定名额内遵循择优入取原则，按总分高低进行统一排序，并报协会审核。</w:t>
      </w:r>
    </w:p>
    <w:p>
      <w:pPr>
        <w:ind w:firstLine="562" w:firstLineChars="200"/>
        <w:rPr>
          <w:color w:val="000000" w:themeColor="text1"/>
          <w:sz w:val="28"/>
          <w:szCs w:val="28"/>
          <w14:textFill>
            <w14:solidFill>
              <w14:schemeClr w14:val="tx1"/>
            </w14:solidFill>
          </w14:textFill>
        </w:rPr>
      </w:pPr>
      <w:r>
        <w:rPr>
          <w:rFonts w:hint="eastAsia" w:ascii="黑体" w:hAnsi="黑体" w:eastAsia="黑体" w:cs="黑体"/>
          <w:b/>
          <w:color w:val="000000" w:themeColor="text1"/>
          <w:sz w:val="28"/>
          <w:szCs w:val="28"/>
          <w14:textFill>
            <w14:solidFill>
              <w14:schemeClr w14:val="tx1"/>
            </w14:solidFill>
          </w14:textFill>
        </w:rPr>
        <w:t xml:space="preserve">第九条 入库流程  </w:t>
      </w:r>
      <w:r>
        <w:rPr>
          <w:rFonts w:hint="eastAsia"/>
          <w:color w:val="000000" w:themeColor="text1"/>
          <w:sz w:val="28"/>
          <w:szCs w:val="28"/>
          <w14:textFill>
            <w14:solidFill>
              <w14:schemeClr w14:val="tx1"/>
            </w14:solidFill>
          </w14:textFill>
        </w:rPr>
        <w:t>协会组织对专家候选人进行审核，经专项评议确定入库专家名单，予以公示公告。</w:t>
      </w:r>
    </w:p>
    <w:p>
      <w:pPr>
        <w:ind w:firstLine="562" w:firstLineChars="200"/>
        <w:rPr>
          <w:color w:val="000000" w:themeColor="text1"/>
          <w:sz w:val="28"/>
          <w:szCs w:val="28"/>
          <w14:textFill>
            <w14:solidFill>
              <w14:schemeClr w14:val="tx1"/>
            </w14:solidFill>
          </w14:textFill>
        </w:rPr>
      </w:pPr>
      <w:r>
        <w:rPr>
          <w:rFonts w:hint="eastAsia" w:ascii="黑体" w:hAnsi="黑体" w:eastAsia="黑体" w:cs="黑体"/>
          <w:b/>
          <w:color w:val="000000" w:themeColor="text1"/>
          <w:sz w:val="28"/>
          <w:szCs w:val="28"/>
          <w14:textFill>
            <w14:solidFill>
              <w14:schemeClr w14:val="tx1"/>
            </w14:solidFill>
          </w14:textFill>
        </w:rPr>
        <w:t>第十条  终止资格</w:t>
      </w:r>
      <w:r>
        <w:rPr>
          <w:rFonts w:hint="eastAsia"/>
          <w:color w:val="000000" w:themeColor="text1"/>
          <w:sz w:val="28"/>
          <w:szCs w:val="28"/>
          <w14:textFill>
            <w14:solidFill>
              <w14:schemeClr w14:val="tx1"/>
            </w14:solidFill>
          </w14:textFill>
        </w:rPr>
        <w:t xml:space="preserve"> 协会按年度组织对在库专家进行全面考核，对不合格专家其资格或接受个人申请退出专家库，并在协会网站给予公告。</w:t>
      </w:r>
    </w:p>
    <w:p>
      <w:pPr>
        <w:spacing w:before="249" w:beforeLines="80" w:after="249" w:afterLines="80"/>
        <w:jc w:val="center"/>
        <w:rPr>
          <w:color w:val="000000" w:themeColor="text1"/>
          <w:sz w:val="28"/>
          <w:szCs w:val="28"/>
          <w14:textFill>
            <w14:solidFill>
              <w14:schemeClr w14:val="tx1"/>
            </w14:solidFill>
          </w14:textFill>
        </w:rPr>
      </w:pPr>
      <w:r>
        <w:rPr>
          <w:rFonts w:hint="eastAsia" w:ascii="黑体" w:hAnsi="黑体" w:eastAsia="黑体"/>
          <w:sz w:val="28"/>
          <w:szCs w:val="28"/>
        </w:rPr>
        <w:t>第四章</w:t>
      </w:r>
      <w:r>
        <w:rPr>
          <w:rFonts w:hint="eastAsia" w:ascii="黑体" w:hAnsi="黑体" w:eastAsia="黑体"/>
          <w:sz w:val="28"/>
          <w:szCs w:val="28"/>
        </w:rPr>
        <w:tab/>
      </w:r>
      <w:r>
        <w:rPr>
          <w:rFonts w:hint="eastAsia" w:ascii="黑体" w:hAnsi="黑体" w:eastAsia="黑体"/>
          <w:sz w:val="28"/>
          <w:szCs w:val="28"/>
        </w:rPr>
        <w:t>权利与义务</w:t>
      </w:r>
    </w:p>
    <w:p>
      <w:pPr>
        <w:ind w:firstLine="562" w:firstLineChars="200"/>
        <w:rPr>
          <w:color w:val="000000" w:themeColor="text1"/>
          <w:sz w:val="28"/>
          <w:szCs w:val="28"/>
          <w14:textFill>
            <w14:solidFill>
              <w14:schemeClr w14:val="tx1"/>
            </w14:solidFill>
          </w14:textFill>
        </w:rPr>
      </w:pPr>
      <w:r>
        <w:rPr>
          <w:rFonts w:hint="eastAsia" w:ascii="黑体" w:hAnsi="黑体" w:eastAsia="黑体" w:cs="黑体"/>
          <w:b/>
          <w:color w:val="000000" w:themeColor="text1"/>
          <w:sz w:val="28"/>
          <w:szCs w:val="28"/>
          <w14:textFill>
            <w14:solidFill>
              <w14:schemeClr w14:val="tx1"/>
            </w14:solidFill>
          </w14:textFill>
        </w:rPr>
        <w:t xml:space="preserve">第十一条 专家权利 </w:t>
      </w:r>
      <w:r>
        <w:rPr>
          <w:rFonts w:hint="eastAsia"/>
          <w:color w:val="000000" w:themeColor="text1"/>
          <w:sz w:val="28"/>
          <w:szCs w:val="28"/>
          <w14:textFill>
            <w14:solidFill>
              <w14:schemeClr w14:val="tx1"/>
            </w14:solidFill>
          </w14:textFill>
        </w:rPr>
        <w:t>专家在任期内享有以下权利：</w:t>
      </w:r>
    </w:p>
    <w:p>
      <w:pPr>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（一）使用专家称号、获得专家证书。</w:t>
      </w:r>
    </w:p>
    <w:p>
      <w:pPr>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（二）获得协会相应的专业资源、学术资料及网络信息资源，优先选派参加相关专业培训或出席行业专题会议。</w:t>
      </w:r>
    </w:p>
    <w:p>
      <w:pP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　　（三）根据有关规定，可享受工作补贴或专家报酬。津贴标准应结合工作量、专业难度和工作时长，由协会参考同类行业协会的类似标准，统一制定具体计酬、费用开支标准。</w:t>
      </w:r>
    </w:p>
    <w:p>
      <w:pPr>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（四）独立自主发表专业意见，与其他专家意见不一致时，可行使书面保留意见的权利，交由协会统一归档。</w:t>
      </w:r>
    </w:p>
    <w:p>
      <w:pP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　　（五）在评选优秀估价师、优秀专家、先进工作者等行业推优表彰活动中，可按照有关规定，享受优先权。</w:t>
      </w:r>
    </w:p>
    <w:p>
      <w:pP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　　（六）专家工作受协会保护，专家可根据个人需求提出对其参与工作情况进行保密。</w:t>
      </w:r>
    </w:p>
    <w:p>
      <w:pPr>
        <w:ind w:firstLine="562" w:firstLineChars="200"/>
        <w:rPr>
          <w:color w:val="000000" w:themeColor="text1"/>
          <w:sz w:val="28"/>
          <w:szCs w:val="28"/>
          <w14:textFill>
            <w14:solidFill>
              <w14:schemeClr w14:val="tx1"/>
            </w14:solidFill>
          </w14:textFill>
        </w:rPr>
      </w:pPr>
      <w:r>
        <w:rPr>
          <w:rFonts w:hint="eastAsia" w:ascii="黑体" w:hAnsi="黑体" w:eastAsia="黑体" w:cs="黑体"/>
          <w:b/>
          <w:color w:val="000000" w:themeColor="text1"/>
          <w:sz w:val="28"/>
          <w:szCs w:val="28"/>
          <w14:textFill>
            <w14:solidFill>
              <w14:schemeClr w14:val="tx1"/>
            </w14:solidFill>
          </w14:textFill>
        </w:rPr>
        <w:t>第十二条 专家义务</w:t>
      </w:r>
      <w:r>
        <w:rPr>
          <w:rFonts w:hint="eastAsia"/>
          <w:color w:val="000000" w:themeColor="text1"/>
          <w:sz w:val="28"/>
          <w:szCs w:val="28"/>
          <w14:textFill>
            <w14:solidFill>
              <w14:schemeClr w14:val="tx1"/>
            </w14:solidFill>
          </w14:textFill>
        </w:rPr>
        <w:t xml:space="preserve"> 专家应履行以下义务：</w:t>
      </w:r>
    </w:p>
    <w:p>
      <w:pP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　　（一）坚决拥护中国共产党的领导，严格遵循科学、独立、客观、公正的原则，廉洁自律，恪守职业道德和执业规范，遵守并无条件接受政府、学会、协会和社会的管理和监督。</w:t>
      </w:r>
    </w:p>
    <w:p>
      <w:pPr>
        <w:ind w:firstLine="56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（二）乐于奉献，勇于分享，敢于担当，积极有为，有钻研精神，积极参加学术研究，不断提升自身专业水平。</w:t>
      </w:r>
    </w:p>
    <w:p>
      <w:pPr>
        <w:ind w:firstLine="56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三）不滥用专家身份。承接协会委托，执行专家任务、技术援助或参加公益活动，或其他使用专家身份时，均应独立、按时完成工作，且应发表书面意见并签署姓名，承担对应的责任，专家对所参与及签署的估价报告鉴定意见、专业（技术）评审结论或质量评审结果等成果终身负责。协会对无正当理由不接受任务、工作失职、被相关部门负面评价、或发生责任事故者，视情节轻重给予警告、严重警告、终止专家资格等处分。</w:t>
      </w:r>
    </w:p>
    <w:p>
      <w:pPr>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（四）对所涉及国家秘密、商业秘密和当事人隐私、项目情况等负有保密义务。不应私自接触相关利益人，禁止任何形式的交易交换，或谋求不当利益。</w:t>
      </w:r>
    </w:p>
    <w:p>
      <w:pP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　　（五）遵循回避原则，接受的工作如存在与自身存在利害关系或其他可能影响公正性的情况时，专家应及时告知，并主动申请回避。</w:t>
      </w:r>
    </w:p>
    <w:p>
      <w:pP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　　（六）担负其他法律法规、规章制度和学会、协会以及行规所确定的相应职责和义务。</w:t>
      </w:r>
    </w:p>
    <w:p>
      <w:pPr>
        <w:spacing w:before="249" w:beforeLines="80" w:after="249" w:afterLines="80"/>
        <w:jc w:val="center"/>
        <w:rPr>
          <w:color w:val="000000" w:themeColor="text1"/>
          <w:sz w:val="28"/>
          <w:szCs w:val="28"/>
          <w14:textFill>
            <w14:solidFill>
              <w14:schemeClr w14:val="tx1"/>
            </w14:solidFill>
          </w14:textFill>
        </w:rPr>
      </w:pPr>
      <w:r>
        <w:rPr>
          <w:rFonts w:hint="eastAsia" w:ascii="黑体" w:hAnsi="黑体" w:eastAsia="黑体"/>
          <w:sz w:val="28"/>
          <w:szCs w:val="28"/>
        </w:rPr>
        <w:t>第五章</w:t>
      </w:r>
      <w:r>
        <w:rPr>
          <w:rFonts w:hint="eastAsia" w:ascii="黑体" w:hAnsi="黑体" w:eastAsia="黑体"/>
          <w:sz w:val="28"/>
          <w:szCs w:val="28"/>
        </w:rPr>
        <w:tab/>
      </w:r>
      <w:r>
        <w:rPr>
          <w:rFonts w:hint="eastAsia" w:ascii="黑体" w:hAnsi="黑体" w:eastAsia="黑体"/>
          <w:sz w:val="28"/>
          <w:szCs w:val="28"/>
        </w:rPr>
        <w:t>工作原则</w:t>
      </w:r>
    </w:p>
    <w:p>
      <w:pPr>
        <w:ind w:firstLine="562" w:firstLineChars="200"/>
        <w:rPr>
          <w:color w:val="000000" w:themeColor="text1"/>
          <w:sz w:val="28"/>
          <w:szCs w:val="28"/>
          <w14:textFill>
            <w14:solidFill>
              <w14:schemeClr w14:val="tx1"/>
            </w14:solidFill>
          </w14:textFill>
        </w:rPr>
      </w:pPr>
      <w:r>
        <w:rPr>
          <w:rFonts w:hint="eastAsia" w:ascii="黑体" w:hAnsi="黑体" w:eastAsia="黑体" w:cs="黑体"/>
          <w:b/>
          <w:color w:val="000000" w:themeColor="text1"/>
          <w:sz w:val="28"/>
          <w:szCs w:val="28"/>
          <w14:textFill>
            <w14:solidFill>
              <w14:schemeClr w14:val="tx1"/>
            </w14:solidFill>
          </w14:textFill>
        </w:rPr>
        <w:t xml:space="preserve">第十三条 专家选用 </w:t>
      </w:r>
      <w:r>
        <w:rPr>
          <w:rFonts w:hint="eastAsia"/>
          <w:color w:val="000000" w:themeColor="text1"/>
          <w:sz w:val="28"/>
          <w:szCs w:val="28"/>
          <w14:textFill>
            <w14:solidFill>
              <w14:schemeClr w14:val="tx1"/>
            </w14:solidFill>
          </w14:textFill>
        </w:rPr>
        <w:t>受政府、企事业、协会或相关部门委托组织开展估价报告抽查评议、成片估价基准成果以及其他事项验收、专项检查、技术审裁、技术援助、专业论证等专家工作时，原则上从专家库名单中选取相应的专家人选；涉及复杂问题、难度较大的项目，可按项目和任务为单位，独立邀请社会其他合适专业人士选参与，但应经过协会的审批。</w:t>
      </w:r>
    </w:p>
    <w:p>
      <w:pPr>
        <w:ind w:firstLine="562" w:firstLineChars="200"/>
        <w:rPr>
          <w:color w:val="000000" w:themeColor="text1"/>
          <w:sz w:val="28"/>
          <w:szCs w:val="28"/>
          <w14:textFill>
            <w14:solidFill>
              <w14:schemeClr w14:val="tx1"/>
            </w14:solidFill>
          </w14:textFill>
        </w:rPr>
      </w:pPr>
      <w:r>
        <w:rPr>
          <w:rFonts w:hint="eastAsia" w:ascii="黑体" w:hAnsi="黑体" w:eastAsia="黑体" w:cs="黑体"/>
          <w:b/>
          <w:color w:val="000000" w:themeColor="text1"/>
          <w:sz w:val="28"/>
          <w:szCs w:val="28"/>
          <w14:textFill>
            <w14:solidFill>
              <w14:schemeClr w14:val="tx1"/>
            </w14:solidFill>
          </w14:textFill>
        </w:rPr>
        <w:t xml:space="preserve">第十四条 选用原则 </w:t>
      </w:r>
      <w:r>
        <w:rPr>
          <w:rFonts w:hint="eastAsia"/>
          <w:color w:val="000000" w:themeColor="text1"/>
          <w:sz w:val="28"/>
          <w:szCs w:val="28"/>
          <w14:textFill>
            <w14:solidFill>
              <w14:schemeClr w14:val="tx1"/>
            </w14:solidFill>
          </w14:textFill>
        </w:rPr>
        <w:t>首先应遵循随机原则、公平公正原则，常规项目原则上可通过摇号从专家库中抽取相应的专家；对复杂、有难度的项目，可根据工作强度和急迫性，可以由主任专家负责选调项目的专家牵头人组建专家小组。</w:t>
      </w:r>
    </w:p>
    <w:p>
      <w:pPr>
        <w:ind w:firstLine="562" w:firstLineChars="200"/>
        <w:rPr>
          <w:color w:val="000000" w:themeColor="text1"/>
          <w:sz w:val="28"/>
          <w:szCs w:val="28"/>
          <w14:textFill>
            <w14:solidFill>
              <w14:schemeClr w14:val="tx1"/>
            </w14:solidFill>
          </w14:textFill>
        </w:rPr>
      </w:pPr>
      <w:r>
        <w:rPr>
          <w:rFonts w:hint="eastAsia" w:ascii="黑体" w:hAnsi="黑体" w:eastAsia="黑体" w:cs="黑体"/>
          <w:b/>
          <w:color w:val="000000" w:themeColor="text1"/>
          <w:sz w:val="28"/>
          <w:szCs w:val="28"/>
          <w14:textFill>
            <w14:solidFill>
              <w14:schemeClr w14:val="tx1"/>
            </w14:solidFill>
          </w14:textFill>
        </w:rPr>
        <w:t>第十五条 回避原则</w:t>
      </w:r>
      <w:r>
        <w:rPr>
          <w:rFonts w:hint="eastAsia"/>
          <w:color w:val="000000" w:themeColor="text1"/>
          <w:sz w:val="28"/>
          <w:szCs w:val="28"/>
          <w14:textFill>
            <w14:solidFill>
              <w14:schemeClr w14:val="tx1"/>
            </w14:solidFill>
          </w14:textFill>
        </w:rPr>
        <w:t xml:space="preserve"> 被选取的专家应遵循回避原则，应遵守法律法规规定，特别是不得参与评议、评审本机构、近亲或与本机构（本人）有直接利益关系机构（人）的报告或成果资料或者其他有可能妨碍评议、评审公正性的报告或成果。项目评审或专项研讨时，根据实际工作需要可提出具体明确的工作回避机制。</w:t>
      </w:r>
    </w:p>
    <w:p>
      <w:pPr>
        <w:ind w:firstLine="562" w:firstLineChars="200"/>
        <w:rPr>
          <w:color w:val="000000" w:themeColor="text1"/>
          <w:sz w:val="28"/>
          <w:szCs w:val="28"/>
          <w14:textFill>
            <w14:solidFill>
              <w14:schemeClr w14:val="tx1"/>
            </w14:solidFill>
          </w14:textFill>
        </w:rPr>
      </w:pPr>
      <w:r>
        <w:rPr>
          <w:rFonts w:hint="eastAsia" w:ascii="黑体" w:hAnsi="黑体" w:eastAsia="黑体" w:cs="黑体"/>
          <w:b/>
          <w:color w:val="000000" w:themeColor="text1"/>
          <w:sz w:val="28"/>
          <w:szCs w:val="28"/>
          <w14:textFill>
            <w14:solidFill>
              <w14:schemeClr w14:val="tx1"/>
            </w14:solidFill>
          </w14:textFill>
        </w:rPr>
        <w:t>第十六条 公平公正</w:t>
      </w:r>
      <w:r>
        <w:rPr>
          <w:rFonts w:hint="eastAsia"/>
          <w:color w:val="000000" w:themeColor="text1"/>
          <w:sz w:val="28"/>
          <w:szCs w:val="28"/>
          <w14:textFill>
            <w14:solidFill>
              <w14:schemeClr w14:val="tx1"/>
            </w14:solidFill>
          </w14:textFill>
        </w:rPr>
        <w:t xml:space="preserve"> 专家应遵循独立客观公正的工作原则，无论采用何种形式，专家对所签署或出具的专家意见应谨慎、客观、公正。</w:t>
      </w:r>
    </w:p>
    <w:p>
      <w:pPr>
        <w:ind w:firstLine="560"/>
        <w:rPr>
          <w:color w:val="000000" w:themeColor="text1"/>
          <w:sz w:val="28"/>
          <w:szCs w:val="28"/>
          <w14:textFill>
            <w14:solidFill>
              <w14:schemeClr w14:val="tx1"/>
            </w14:solidFill>
          </w14:textFill>
        </w:rPr>
      </w:pPr>
      <w:r>
        <w:rPr>
          <w:rFonts w:hint="eastAsia" w:ascii="黑体" w:hAnsi="黑体" w:eastAsia="黑体" w:cs="黑体"/>
          <w:b/>
          <w:color w:val="000000" w:themeColor="text1"/>
          <w:sz w:val="28"/>
          <w:szCs w:val="28"/>
          <w14:textFill>
            <w14:solidFill>
              <w14:schemeClr w14:val="tx1"/>
            </w14:solidFill>
          </w14:textFill>
        </w:rPr>
        <w:t>第十七条 专家成果</w:t>
      </w:r>
      <w:r>
        <w:rPr>
          <w:rFonts w:hint="eastAsia"/>
          <w:color w:val="000000" w:themeColor="text1"/>
          <w:sz w:val="28"/>
          <w:szCs w:val="28"/>
          <w14:textFill>
            <w14:solidFill>
              <w14:schemeClr w14:val="tx1"/>
            </w14:solidFill>
          </w14:textFill>
        </w:rPr>
        <w:t xml:space="preserve"> 专家工作成果可采取：咨询答复、形式审查、专家评估、讨论会审、技术评审、专业鉴定文件等形式，以及基础资料审查、现场查勘、实地检查等方式相结合，且应符合项目要求和委托协议或合同的约定及相关规定。</w:t>
      </w:r>
    </w:p>
    <w:p>
      <w:pPr>
        <w:ind w:firstLine="56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有关技术文件、会议纪要、项目成果应由对应专家个人签名确立；专家成果需使用协会名义发文时，应经过协会审批，但不因此减免相应专家应负的责任。</w:t>
      </w:r>
    </w:p>
    <w:p>
      <w:pPr>
        <w:ind w:firstLine="56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协会对以上工作所涉及的相关原件等资料建档，长期备查，包含不限于查勘记录、有关会议纪要记录、鉴定评审意见、往来函件、课题和研究成果、技术标准及对应审批件、签发记录等专家工作成果文件。对专家工作、服务质量等履职情况，应建立各专家个人工作台账和专家档案。</w:t>
      </w:r>
    </w:p>
    <w:p>
      <w:pPr>
        <w:spacing w:before="249" w:beforeLines="80" w:after="249" w:afterLines="80"/>
        <w:jc w:val="center"/>
        <w:rPr>
          <w:color w:val="000000" w:themeColor="text1"/>
          <w:sz w:val="28"/>
          <w:szCs w:val="28"/>
          <w14:textFill>
            <w14:solidFill>
              <w14:schemeClr w14:val="tx1"/>
            </w14:solidFill>
          </w14:textFill>
        </w:rPr>
      </w:pPr>
      <w:r>
        <w:rPr>
          <w:rFonts w:hint="eastAsia" w:ascii="黑体" w:hAnsi="黑体" w:eastAsia="黑体"/>
          <w:sz w:val="28"/>
          <w:szCs w:val="28"/>
        </w:rPr>
        <w:t>第六章</w:t>
      </w:r>
      <w:r>
        <w:rPr>
          <w:rFonts w:hint="eastAsia" w:ascii="黑体" w:hAnsi="黑体" w:eastAsia="黑体"/>
          <w:sz w:val="28"/>
          <w:szCs w:val="28"/>
        </w:rPr>
        <w:tab/>
      </w:r>
      <w:r>
        <w:rPr>
          <w:rFonts w:hint="eastAsia" w:ascii="黑体" w:hAnsi="黑体" w:eastAsia="黑体"/>
          <w:sz w:val="28"/>
          <w:szCs w:val="28"/>
        </w:rPr>
        <w:t>履职评价</w:t>
      </w:r>
    </w:p>
    <w:p>
      <w:pPr>
        <w:ind w:firstLine="641" w:firstLineChars="228"/>
        <w:rPr>
          <w:rFonts w:ascii="黑体" w:hAnsi="黑体" w:eastAsia="黑体" w:cs="黑体"/>
          <w:b/>
          <w:color w:val="000000" w:themeColor="text1"/>
          <w:sz w:val="28"/>
          <w:szCs w:val="28"/>
          <w14:textFill>
            <w14:solidFill>
              <w14:schemeClr w14:val="tx1"/>
            </w14:solidFill>
          </w14:textFill>
        </w:rPr>
      </w:pPr>
      <w:r>
        <w:rPr>
          <w:rFonts w:hint="eastAsia" w:ascii="黑体" w:hAnsi="黑体" w:eastAsia="黑体" w:cs="黑体"/>
          <w:b/>
          <w:color w:val="000000" w:themeColor="text1"/>
          <w:sz w:val="28"/>
          <w:szCs w:val="28"/>
          <w14:textFill>
            <w14:solidFill>
              <w14:schemeClr w14:val="tx1"/>
            </w14:solidFill>
          </w14:textFill>
        </w:rPr>
        <w:t xml:space="preserve">第十八条  履职评价 </w:t>
      </w:r>
    </w:p>
    <w:p>
      <w:pPr>
        <w:ind w:firstLine="638" w:firstLineChars="228"/>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（一）专家工作量统计与绩效分析</w:t>
      </w:r>
    </w:p>
    <w:p>
      <w:pPr>
        <w:ind w:firstLine="638" w:firstLineChars="228"/>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协会留有专家年度工作情况记录，开展履职评价，包含不限于工作业绩和工作态度，建立优胜劣汰机制。</w:t>
      </w:r>
    </w:p>
    <w:p>
      <w:pPr>
        <w:ind w:firstLine="638" w:firstLineChars="228"/>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（二）专家应接受履职评价，具体分为：</w:t>
      </w:r>
    </w:p>
    <w:p>
      <w:pPr>
        <w:ind w:firstLine="638" w:firstLineChars="228"/>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单次履职评价。建立专家工作评价档案，专家完成单次工作后，应对专家进行履职评价并记入评价档案。专家组长的履职评价由协会负责人完成，专家成员的履职评价由专家组长完成。</w:t>
      </w:r>
    </w:p>
    <w:p>
      <w:pPr>
        <w:ind w:firstLine="638" w:firstLineChars="228"/>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年度履职评价，协会应根据专家年度工作业绩、履职情况、公正监督反馈信息等维度，组织对专家进行年度综合履职评价。</w:t>
      </w:r>
    </w:p>
    <w:p>
      <w:pPr>
        <w:ind w:firstLine="638" w:firstLineChars="228"/>
        <w:rPr>
          <w:color w:val="000000" w:themeColor="text1"/>
          <w:sz w:val="28"/>
          <w:szCs w:val="28"/>
          <w14:textFill>
            <w14:solidFill>
              <w14:schemeClr w14:val="tx1"/>
            </w14:solidFill>
          </w14:textFill>
        </w:rPr>
      </w:pPr>
      <w:r>
        <w:rPr>
          <w:rFonts w:hint="eastAsia" w:eastAsia="黑体"/>
          <w:color w:val="000000" w:themeColor="text1"/>
          <w:sz w:val="28"/>
          <w:szCs w:val="28"/>
          <w14:textFill>
            <w14:solidFill>
              <w14:schemeClr w14:val="tx1"/>
            </w14:solidFill>
          </w14:textFill>
        </w:rPr>
        <w:t>第十九条 履职怠慢</w:t>
      </w:r>
      <w:r>
        <w:rPr>
          <w:rFonts w:hint="eastAsia"/>
          <w:color w:val="000000" w:themeColor="text1"/>
          <w:sz w:val="28"/>
          <w:szCs w:val="28"/>
          <w14:textFill>
            <w14:solidFill>
              <w14:schemeClr w14:val="tx1"/>
            </w14:solidFill>
          </w14:textFill>
        </w:rPr>
        <w:t xml:space="preserve"> 对被抽中或被指定委派专家不能及时或拒绝参加工作或无法按规定完成工作，或明显存在应付行为且无合理理由，年度累计达两次，协会可终止其专家资格。</w:t>
      </w:r>
    </w:p>
    <w:p>
      <w:pPr>
        <w:ind w:left="10" w:firstLine="621" w:firstLineChars="221"/>
        <w:rPr>
          <w:color w:val="000000" w:themeColor="text1"/>
          <w:sz w:val="28"/>
          <w:szCs w:val="28"/>
          <w14:textFill>
            <w14:solidFill>
              <w14:schemeClr w14:val="tx1"/>
            </w14:solidFill>
          </w14:textFill>
        </w:rPr>
      </w:pPr>
      <w:r>
        <w:rPr>
          <w:rFonts w:hint="eastAsia" w:ascii="黑体" w:hAnsi="黑体" w:eastAsia="黑体" w:cs="黑体"/>
          <w:b/>
          <w:color w:val="000000" w:themeColor="text1"/>
          <w:sz w:val="28"/>
          <w:szCs w:val="28"/>
          <w14:textFill>
            <w14:solidFill>
              <w14:schemeClr w14:val="tx1"/>
            </w14:solidFill>
          </w14:textFill>
        </w:rPr>
        <w:t>第二十条 履职考核</w:t>
      </w:r>
      <w:r>
        <w:rPr>
          <w:rFonts w:hint="eastAsia"/>
          <w:color w:val="000000" w:themeColor="text1"/>
          <w:sz w:val="28"/>
          <w:szCs w:val="28"/>
          <w14:textFill>
            <w14:solidFill>
              <w14:schemeClr w14:val="tx1"/>
            </w14:solidFill>
          </w14:textFill>
        </w:rPr>
        <w:t xml:space="preserve"> 协会实行专家履职评价制度，原则上按年度对专家进行考核评价，作为后续专家选用、续聘和培养参考，一般分为：优秀、良好、合格、不合格四个等别。</w:t>
      </w:r>
    </w:p>
    <w:p>
      <w:pPr>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履职评价为不合格时，给予一定期限的暂停使用；聘期内履职评价“不合格”的次数累计达两次或年度履职评价为不合格级，应终止其本届专家资格。</w:t>
      </w:r>
    </w:p>
    <w:p>
      <w:pPr>
        <w:ind w:firstLine="638" w:firstLineChars="228"/>
        <w:rPr>
          <w:color w:val="000000" w:themeColor="text1"/>
          <w:sz w:val="28"/>
          <w:szCs w:val="28"/>
          <w14:textFill>
            <w14:solidFill>
              <w14:schemeClr w14:val="tx1"/>
            </w14:solidFill>
          </w14:textFill>
        </w:rPr>
      </w:pPr>
      <w:r>
        <w:rPr>
          <w:rFonts w:hint="eastAsia" w:eastAsia="黑体"/>
          <w:color w:val="000000" w:themeColor="text1"/>
          <w:sz w:val="28"/>
          <w:szCs w:val="28"/>
          <w14:textFill>
            <w14:solidFill>
              <w14:schemeClr w14:val="tx1"/>
            </w14:solidFill>
          </w14:textFill>
        </w:rPr>
        <w:t>第二十一条 执业过错</w:t>
      </w:r>
      <w:r>
        <w:rPr>
          <w:rFonts w:hint="eastAsia"/>
          <w:color w:val="000000" w:themeColor="text1"/>
          <w:sz w:val="28"/>
          <w:szCs w:val="28"/>
          <w14:textFill>
            <w14:solidFill>
              <w14:schemeClr w14:val="tx1"/>
            </w14:solidFill>
          </w14:textFill>
        </w:rPr>
        <w:t xml:space="preserve"> 专家若存在：填写虚假信息或隐瞒犯罪或行政处罚记录，或在开展技术评审、技术论证、专项验收等实际工作中存在明显不当行为，特别是估价报告鉴定与质量评审明显出错或显失公平，以及其他所触犯法律法规、政府和协会规定、行业禁止行为，违法犯罪，协会可以通报批评、警告、暂停或终止其专家资格和权益。</w:t>
      </w:r>
    </w:p>
    <w:p>
      <w:pPr>
        <w:ind w:firstLine="638" w:firstLineChars="228"/>
        <w:rPr>
          <w:color w:val="000000" w:themeColor="text1"/>
          <w:sz w:val="28"/>
          <w:szCs w:val="28"/>
          <w14:textFill>
            <w14:solidFill>
              <w14:schemeClr w14:val="tx1"/>
            </w14:solidFill>
          </w14:textFill>
        </w:rPr>
      </w:pPr>
      <w:r>
        <w:rPr>
          <w:rFonts w:hint="eastAsia" w:eastAsia="黑体"/>
          <w:color w:val="000000" w:themeColor="text1"/>
          <w:sz w:val="28"/>
          <w:szCs w:val="28"/>
          <w14:textFill>
            <w14:solidFill>
              <w14:schemeClr w14:val="tx1"/>
            </w14:solidFill>
          </w14:textFill>
        </w:rPr>
        <w:t xml:space="preserve">第二十二条 一票否决 </w:t>
      </w:r>
      <w:r>
        <w:rPr>
          <w:rFonts w:hint="eastAsia"/>
          <w:color w:val="000000" w:themeColor="text1"/>
          <w:sz w:val="28"/>
          <w:szCs w:val="28"/>
          <w14:textFill>
            <w14:solidFill>
              <w14:schemeClr w14:val="tx1"/>
            </w14:solidFill>
          </w14:textFill>
        </w:rPr>
        <w:t>凡出现下列情形之一者或其他不适宜继续担任专家的情况，执行一票否决制度，专家或所在估价机构应及时报告，相关专家将自动退出专家库，或由协会直接将其移出专家库：</w:t>
      </w:r>
    </w:p>
    <w:p>
      <w:pPr>
        <w:ind w:firstLine="638" w:firstLineChars="228"/>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（一）违法违纪；</w:t>
      </w:r>
    </w:p>
    <w:p>
      <w:pPr>
        <w:ind w:firstLine="638" w:firstLineChars="228"/>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（二）被开除公职或党籍；</w:t>
      </w:r>
    </w:p>
    <w:p>
      <w:pPr>
        <w:ind w:firstLine="638" w:firstLineChars="228"/>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（三）发生重大责任事故；</w:t>
      </w:r>
    </w:p>
    <w:p>
      <w:pPr>
        <w:ind w:firstLine="638" w:firstLineChars="228"/>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（四）学术道德不端，职业道德失范。</w:t>
      </w:r>
    </w:p>
    <w:p>
      <w:pPr>
        <w:ind w:firstLine="638" w:firstLineChars="228"/>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其中，一旦出现被中国共产党党组织、政府、纪检监察部门或司法部门调查的专家，应暂时停止其专家资格；若已解除以上事项的约束，且无不良后果时应及时恢复其专家资格。</w:t>
      </w:r>
    </w:p>
    <w:p>
      <w:pPr>
        <w:ind w:firstLine="641" w:firstLineChars="228"/>
        <w:rPr>
          <w:color w:val="000000" w:themeColor="text1"/>
          <w:sz w:val="28"/>
          <w:szCs w:val="28"/>
          <w14:textFill>
            <w14:solidFill>
              <w14:schemeClr w14:val="tx1"/>
            </w14:solidFill>
          </w14:textFill>
        </w:rPr>
      </w:pPr>
      <w:r>
        <w:rPr>
          <w:rFonts w:hint="eastAsia" w:ascii="黑体" w:hAnsi="黑体" w:eastAsia="黑体" w:cs="黑体"/>
          <w:b/>
          <w:color w:val="000000" w:themeColor="text1"/>
          <w:sz w:val="28"/>
          <w:szCs w:val="28"/>
          <w14:textFill>
            <w14:solidFill>
              <w14:schemeClr w14:val="tx1"/>
            </w14:solidFill>
          </w14:textFill>
        </w:rPr>
        <w:t xml:space="preserve">第二十三条 </w:t>
      </w:r>
      <w:r>
        <w:rPr>
          <w:rFonts w:hint="eastAsia" w:eastAsia="黑体"/>
          <w:color w:val="000000" w:themeColor="text1"/>
          <w:sz w:val="28"/>
          <w:szCs w:val="28"/>
          <w14:textFill>
            <w14:solidFill>
              <w14:schemeClr w14:val="tx1"/>
            </w14:solidFill>
          </w14:textFill>
        </w:rPr>
        <w:t xml:space="preserve"> 履职奖罚 </w:t>
      </w:r>
      <w:r>
        <w:rPr>
          <w:rFonts w:hint="eastAsia"/>
          <w:color w:val="000000" w:themeColor="text1"/>
          <w:sz w:val="28"/>
          <w:szCs w:val="28"/>
          <w14:textFill>
            <w14:solidFill>
              <w14:schemeClr w14:val="tx1"/>
            </w14:solidFill>
          </w14:textFill>
        </w:rPr>
        <w:t>协会对履职评价优秀专家或被学会、或设区市及以上人民政府给予表彰的专家给予公告，发放荣誉证书；对不合格专家给予告诫直至终止其资格，必要时由协会建议相关行政管理部门对所属机构会员的信用评级中予以加分或减分。</w:t>
      </w:r>
    </w:p>
    <w:p>
      <w:pPr>
        <w:spacing w:before="249" w:beforeLines="80" w:after="249" w:afterLines="80"/>
        <w:jc w:val="center"/>
        <w:rPr>
          <w:color w:val="000000" w:themeColor="text1"/>
          <w:sz w:val="28"/>
          <w:szCs w:val="28"/>
          <w14:textFill>
            <w14:solidFill>
              <w14:schemeClr w14:val="tx1"/>
            </w14:solidFill>
          </w14:textFill>
        </w:rPr>
      </w:pPr>
      <w:r>
        <w:rPr>
          <w:rFonts w:hint="eastAsia" w:ascii="黑体" w:hAnsi="黑体" w:eastAsia="黑体"/>
          <w:sz w:val="28"/>
          <w:szCs w:val="28"/>
        </w:rPr>
        <w:t>第七章</w:t>
      </w:r>
      <w:r>
        <w:rPr>
          <w:rFonts w:hint="eastAsia" w:ascii="黑体" w:hAnsi="黑体" w:eastAsia="黑体"/>
          <w:sz w:val="28"/>
          <w:szCs w:val="28"/>
        </w:rPr>
        <w:tab/>
      </w:r>
      <w:r>
        <w:rPr>
          <w:rFonts w:hint="eastAsia" w:ascii="黑体" w:hAnsi="黑体" w:eastAsia="黑体"/>
          <w:sz w:val="28"/>
          <w:szCs w:val="28"/>
        </w:rPr>
        <w:t>公众监督</w:t>
      </w:r>
    </w:p>
    <w:p>
      <w:pPr>
        <w:ind w:firstLine="641" w:firstLineChars="228"/>
        <w:rPr>
          <w:color w:val="000000" w:themeColor="text1"/>
          <w:sz w:val="28"/>
          <w:szCs w:val="28"/>
          <w14:textFill>
            <w14:solidFill>
              <w14:schemeClr w14:val="tx1"/>
            </w14:solidFill>
          </w14:textFill>
        </w:rPr>
      </w:pPr>
      <w:r>
        <w:rPr>
          <w:rFonts w:hint="eastAsia" w:ascii="黑体" w:hAnsi="黑体" w:eastAsia="黑体" w:cs="黑体"/>
          <w:b/>
          <w:color w:val="000000" w:themeColor="text1"/>
          <w:sz w:val="28"/>
          <w:szCs w:val="28"/>
          <w14:textFill>
            <w14:solidFill>
              <w14:schemeClr w14:val="tx1"/>
            </w14:solidFill>
          </w14:textFill>
        </w:rPr>
        <w:t>第</w:t>
      </w:r>
      <w:r>
        <w:rPr>
          <w:rFonts w:hint="eastAsia" w:eastAsia="黑体"/>
          <w:color w:val="000000" w:themeColor="text1"/>
          <w:sz w:val="28"/>
          <w:szCs w:val="28"/>
          <w14:textFill>
            <w14:solidFill>
              <w14:schemeClr w14:val="tx1"/>
            </w14:solidFill>
          </w14:textFill>
        </w:rPr>
        <w:t>二十四</w:t>
      </w:r>
      <w:r>
        <w:rPr>
          <w:rFonts w:hint="eastAsia" w:ascii="黑体" w:hAnsi="黑体" w:eastAsia="黑体" w:cs="黑体"/>
          <w:b/>
          <w:color w:val="000000" w:themeColor="text1"/>
          <w:sz w:val="28"/>
          <w:szCs w:val="28"/>
          <w14:textFill>
            <w14:solidFill>
              <w14:schemeClr w14:val="tx1"/>
            </w14:solidFill>
          </w14:textFill>
        </w:rPr>
        <w:t>条</w:t>
      </w:r>
      <w:r>
        <w:rPr>
          <w:rFonts w:hint="eastAsia" w:eastAsia="黑体"/>
          <w:color w:val="000000" w:themeColor="text1"/>
          <w:sz w:val="28"/>
          <w:szCs w:val="28"/>
          <w14:textFill>
            <w14:solidFill>
              <w14:schemeClr w14:val="tx1"/>
            </w14:solidFill>
          </w14:textFill>
        </w:rPr>
        <w:t xml:space="preserve"> 公众监督</w:t>
      </w:r>
      <w:r>
        <w:rPr>
          <w:rFonts w:hint="eastAsia"/>
          <w:color w:val="000000" w:themeColor="text1"/>
          <w:sz w:val="28"/>
          <w:szCs w:val="28"/>
          <w14:textFill>
            <w14:solidFill>
              <w14:schemeClr w14:val="tx1"/>
            </w14:solidFill>
          </w14:textFill>
        </w:rPr>
        <w:t xml:space="preserve"> 除涉密及法律法规另有规定外，全体专家名单应当向社会公开，接受社会、公众、行业监督。</w:t>
      </w:r>
    </w:p>
    <w:p>
      <w:pPr>
        <w:ind w:firstLine="638" w:firstLineChars="228"/>
        <w:rPr>
          <w:color w:val="000000" w:themeColor="text1"/>
          <w:sz w:val="28"/>
          <w:szCs w:val="28"/>
          <w14:textFill>
            <w14:solidFill>
              <w14:schemeClr w14:val="tx1"/>
            </w14:solidFill>
          </w14:textFill>
        </w:rPr>
      </w:pPr>
      <w:r>
        <w:rPr>
          <w:rFonts w:hint="eastAsia" w:eastAsia="黑体"/>
          <w:color w:val="000000" w:themeColor="text1"/>
          <w:sz w:val="28"/>
          <w:szCs w:val="28"/>
          <w14:textFill>
            <w14:solidFill>
              <w14:schemeClr w14:val="tx1"/>
            </w14:solidFill>
          </w14:textFill>
        </w:rPr>
        <w:t xml:space="preserve">第二十五条 严格审核 </w:t>
      </w:r>
      <w:r>
        <w:rPr>
          <w:rFonts w:hint="eastAsia"/>
          <w:color w:val="000000" w:themeColor="text1"/>
          <w:sz w:val="28"/>
          <w:szCs w:val="28"/>
          <w14:textFill>
            <w14:solidFill>
              <w14:schemeClr w14:val="tx1"/>
            </w14:solidFill>
          </w14:textFill>
        </w:rPr>
        <w:t>专家团队是行业、社会宝贵的人才资源，机构会员、设地市协会应认真履行法人主体责任，加强专家信息审核。若因机构会员对专家候选人基本信息审核不力、把关不严或提供虚假证明材料等，将视情节轻重记入机构会员行业自律档案。</w:t>
      </w:r>
    </w:p>
    <w:p>
      <w:pPr>
        <w:ind w:firstLine="638" w:firstLineChars="228"/>
        <w:rPr>
          <w:color w:val="000000" w:themeColor="text1"/>
          <w:sz w:val="28"/>
          <w:szCs w:val="28"/>
          <w14:textFill>
            <w14:solidFill>
              <w14:schemeClr w14:val="tx1"/>
            </w14:solidFill>
          </w14:textFill>
        </w:rPr>
      </w:pPr>
      <w:r>
        <w:rPr>
          <w:rFonts w:hint="eastAsia" w:eastAsia="黑体"/>
          <w:color w:val="000000" w:themeColor="text1"/>
          <w:sz w:val="28"/>
          <w:szCs w:val="28"/>
          <w14:textFill>
            <w14:solidFill>
              <w14:schemeClr w14:val="tx1"/>
            </w14:solidFill>
          </w14:textFill>
        </w:rPr>
        <w:t>第二十六条 反馈机制</w:t>
      </w:r>
      <w:r>
        <w:rPr>
          <w:rFonts w:hint="eastAsia"/>
          <w:color w:val="000000" w:themeColor="text1"/>
          <w:sz w:val="28"/>
          <w:szCs w:val="28"/>
          <w14:textFill>
            <w14:solidFill>
              <w14:schemeClr w14:val="tx1"/>
            </w14:solidFill>
          </w14:textFill>
        </w:rPr>
        <w:t xml:space="preserve"> 公布协会监督邮箱和电话，公开接受公众实名举报，及时复核有关情况，给予明确结论，维护专家合法权益，提升专家库管理力度。</w:t>
      </w:r>
    </w:p>
    <w:p>
      <w:pPr>
        <w:spacing w:before="249" w:beforeLines="80" w:after="249" w:afterLines="80"/>
        <w:jc w:val="center"/>
        <w:rPr>
          <w:color w:val="000000" w:themeColor="text1"/>
          <w:sz w:val="28"/>
          <w:szCs w:val="28"/>
          <w14:textFill>
            <w14:solidFill>
              <w14:schemeClr w14:val="tx1"/>
            </w14:solidFill>
          </w14:textFill>
        </w:rPr>
      </w:pPr>
      <w:r>
        <w:rPr>
          <w:rFonts w:hint="eastAsia" w:ascii="黑体" w:hAnsi="黑体" w:eastAsia="黑体"/>
          <w:sz w:val="28"/>
          <w:szCs w:val="28"/>
        </w:rPr>
        <w:t>第八章</w:t>
      </w:r>
      <w:r>
        <w:rPr>
          <w:rFonts w:hint="eastAsia" w:ascii="黑体" w:hAnsi="黑体" w:eastAsia="黑体"/>
          <w:sz w:val="28"/>
          <w:szCs w:val="28"/>
        </w:rPr>
        <w:tab/>
      </w:r>
      <w:r>
        <w:rPr>
          <w:rFonts w:hint="eastAsia" w:ascii="黑体" w:hAnsi="黑体" w:eastAsia="黑体"/>
          <w:sz w:val="28"/>
          <w:szCs w:val="28"/>
        </w:rPr>
        <w:t>管理与维护</w:t>
      </w:r>
    </w:p>
    <w:p>
      <w:pPr>
        <w:ind w:firstLine="638" w:firstLineChars="228"/>
        <w:rPr>
          <w:color w:val="000000" w:themeColor="text1"/>
          <w:sz w:val="28"/>
          <w:szCs w:val="28"/>
          <w14:textFill>
            <w14:solidFill>
              <w14:schemeClr w14:val="tx1"/>
            </w14:solidFill>
          </w14:textFill>
        </w:rPr>
      </w:pPr>
      <w:r>
        <w:rPr>
          <w:rFonts w:hint="eastAsia" w:eastAsia="黑体"/>
          <w:color w:val="000000" w:themeColor="text1"/>
          <w:sz w:val="28"/>
          <w:szCs w:val="28"/>
          <w14:textFill>
            <w14:solidFill>
              <w14:schemeClr w14:val="tx1"/>
            </w14:solidFill>
          </w14:textFill>
        </w:rPr>
        <w:t>第二十七条 系统管理</w:t>
      </w:r>
      <w:r>
        <w:rPr>
          <w:rFonts w:hint="eastAsia"/>
          <w:color w:val="000000" w:themeColor="text1"/>
          <w:sz w:val="28"/>
          <w:szCs w:val="28"/>
          <w14:textFill>
            <w14:solidFill>
              <w14:schemeClr w14:val="tx1"/>
            </w14:solidFill>
          </w14:textFill>
        </w:rPr>
        <w:t xml:space="preserve"> 协会应建立健全专家库管理系统。</w:t>
      </w:r>
    </w:p>
    <w:p>
      <w:pPr>
        <w:ind w:firstLine="638" w:firstLineChars="228"/>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协会应建立专家库管理系统和专家履职、业绩评判、量化考核标准，用于专家信息的登记、查询、统计和备查，记载主要成果和业绩，以满足专家履职评价要求。</w:t>
      </w:r>
    </w:p>
    <w:p>
      <w:pPr>
        <w:ind w:firstLine="638" w:firstLineChars="228"/>
        <w:rPr>
          <w:color w:val="000000" w:themeColor="text1"/>
          <w:sz w:val="28"/>
          <w:szCs w:val="28"/>
          <w14:textFill>
            <w14:solidFill>
              <w14:schemeClr w14:val="tx1"/>
            </w14:solidFill>
          </w14:textFill>
        </w:rPr>
      </w:pPr>
      <w:r>
        <w:rPr>
          <w:rFonts w:hint="eastAsia" w:eastAsia="黑体"/>
          <w:color w:val="000000" w:themeColor="text1"/>
          <w:sz w:val="28"/>
          <w:szCs w:val="28"/>
          <w14:textFill>
            <w14:solidFill>
              <w14:schemeClr w14:val="tx1"/>
            </w14:solidFill>
          </w14:textFill>
        </w:rPr>
        <w:t>第二十八条 专家信息</w:t>
      </w:r>
      <w:r>
        <w:rPr>
          <w:rFonts w:hint="eastAsia"/>
          <w:color w:val="000000" w:themeColor="text1"/>
          <w:sz w:val="28"/>
          <w:szCs w:val="28"/>
          <w14:textFill>
            <w14:solidFill>
              <w14:schemeClr w14:val="tx1"/>
            </w14:solidFill>
          </w14:textFill>
        </w:rPr>
        <w:t xml:space="preserve"> 协会对专家信息的采集、维护、发布应按以下规定：</w:t>
      </w:r>
    </w:p>
    <w:p>
      <w:pPr>
        <w:ind w:firstLine="638" w:firstLineChars="228"/>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（一）专家个人信息采集与发布，新聘专家及调整变更的专家名单确定后，协会应纳入专家库管理系统，建立健全专家个人信息档案，增强专家自觉性和荣誉感。</w:t>
      </w:r>
    </w:p>
    <w:p>
      <w:pPr>
        <w:ind w:firstLine="638" w:firstLineChars="228"/>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（二）专家个人信息维护，协会专家库均有对应且唯一的专家编号，专家应及时更新完善个人信息资料。</w:t>
      </w:r>
    </w:p>
    <w:p>
      <w:pPr>
        <w:ind w:firstLine="638" w:firstLineChars="228"/>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（三）专家工作与活动信息采集与审核，专家参与相关工作及活动的情况信息，由专家本人录入专家库管理系统。</w:t>
      </w:r>
    </w:p>
    <w:p>
      <w:pPr>
        <w:spacing w:before="249" w:beforeLines="80" w:after="249" w:afterLines="80"/>
        <w:jc w:val="center"/>
        <w:rPr>
          <w:color w:val="000000" w:themeColor="text1"/>
          <w:sz w:val="28"/>
          <w:szCs w:val="28"/>
          <w14:textFill>
            <w14:solidFill>
              <w14:schemeClr w14:val="tx1"/>
            </w14:solidFill>
          </w14:textFill>
        </w:rPr>
      </w:pPr>
      <w:r>
        <w:rPr>
          <w:rFonts w:hint="eastAsia" w:ascii="黑体" w:hAnsi="黑体" w:eastAsia="黑体"/>
          <w:sz w:val="28"/>
          <w:szCs w:val="28"/>
        </w:rPr>
        <w:t>第九章</w:t>
      </w:r>
      <w:r>
        <w:rPr>
          <w:rFonts w:hint="eastAsia" w:ascii="黑体" w:hAnsi="黑体" w:eastAsia="黑体"/>
          <w:sz w:val="28"/>
          <w:szCs w:val="28"/>
        </w:rPr>
        <w:tab/>
      </w:r>
      <w:r>
        <w:rPr>
          <w:rFonts w:hint="eastAsia" w:ascii="黑体" w:hAnsi="黑体" w:eastAsia="黑体"/>
          <w:sz w:val="28"/>
          <w:szCs w:val="28"/>
        </w:rPr>
        <w:t>附则</w:t>
      </w:r>
    </w:p>
    <w:p>
      <w:pPr>
        <w:ind w:firstLine="840" w:firstLineChars="300"/>
        <w:rPr>
          <w:color w:val="000000" w:themeColor="text1"/>
          <w:sz w:val="28"/>
          <w:szCs w:val="28"/>
          <w14:textFill>
            <w14:solidFill>
              <w14:schemeClr w14:val="tx1"/>
            </w14:solidFill>
          </w14:textFill>
        </w:rPr>
      </w:pPr>
      <w:r>
        <w:rPr>
          <w:rFonts w:hint="eastAsia" w:eastAsia="黑体"/>
          <w:color w:val="000000" w:themeColor="text1"/>
          <w:sz w:val="28"/>
          <w:szCs w:val="28"/>
          <w14:textFill>
            <w14:solidFill>
              <w14:schemeClr w14:val="tx1"/>
            </w14:solidFill>
          </w14:textFill>
        </w:rPr>
        <w:t xml:space="preserve">第二十九条 </w:t>
      </w:r>
      <w:r>
        <w:rPr>
          <w:rFonts w:hint="eastAsia"/>
          <w:color w:val="000000" w:themeColor="text1"/>
          <w:sz w:val="28"/>
          <w:szCs w:val="28"/>
          <w14:textFill>
            <w14:solidFill>
              <w14:schemeClr w14:val="tx1"/>
            </w14:solidFill>
          </w14:textFill>
        </w:rPr>
        <w:t xml:space="preserve"> 本办法未明确事项应遵循国家法律法规规定。本办法自发布之日起执行，由福建省房地产业协会负责解释。</w:t>
      </w:r>
    </w:p>
    <w:p>
      <w:pPr>
        <w:ind w:firstLine="840" w:firstLineChars="300"/>
        <w:rPr>
          <w:color w:val="000000" w:themeColor="text1"/>
          <w:sz w:val="28"/>
          <w:szCs w:val="28"/>
          <w14:textFill>
            <w14:solidFill>
              <w14:schemeClr w14:val="tx1"/>
            </w14:solidFill>
          </w14:textFill>
        </w:rPr>
      </w:pPr>
    </w:p>
    <w:p>
      <w:pPr>
        <w:ind w:firstLine="840" w:firstLineChars="3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附件：</w:t>
      </w:r>
    </w:p>
    <w:p>
      <w:pPr>
        <w:ind w:firstLine="840" w:firstLineChars="3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1.《福建省房地产业协会估价专家申请表》</w:t>
      </w:r>
    </w:p>
    <w:p>
      <w:pPr>
        <w:ind w:firstLine="840" w:firstLineChars="3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2.《福建省房地产业协会估价专家库入选计分标准》</w:t>
      </w:r>
    </w:p>
    <w:p>
      <w:pP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br w:type="page"/>
      </w:r>
    </w:p>
    <w:p>
      <w:pPr>
        <w:spacing w:after="156" w:afterLines="50" w:line="52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附件一 </w:t>
      </w:r>
      <w:r>
        <w:rPr>
          <w:rFonts w:hint="eastAsia" w:ascii="黑体" w:hAnsi="黑体" w:eastAsia="黑体" w:cs="黑体"/>
          <w:b/>
          <w:snapToGrid w:val="0"/>
          <w:color w:val="000000" w:themeColor="text1"/>
          <w:spacing w:val="4"/>
          <w:kern w:val="0"/>
          <w:sz w:val="32"/>
          <w:szCs w:val="32"/>
          <w14:textFill>
            <w14:solidFill>
              <w14:schemeClr w14:val="tx1"/>
            </w14:solidFill>
          </w14:textFill>
        </w:rPr>
        <w:t xml:space="preserve">  福建省房地产业协会估价专家申请表 </w:t>
      </w:r>
      <w:r>
        <w:rPr>
          <w:rFonts w:hint="eastAsia" w:ascii="宋体" w:hAnsi="宋体" w:eastAsia="宋体" w:cs="宋体"/>
          <w:color w:val="000000" w:themeColor="text1"/>
          <w:sz w:val="24"/>
          <w:szCs w:val="24"/>
          <w14:textFill>
            <w14:solidFill>
              <w14:schemeClr w14:val="tx1"/>
            </w14:solidFill>
          </w14:textFill>
        </w:rPr>
        <w:t xml:space="preserve">（第  </w:t>
      </w:r>
      <w:r>
        <w:rPr>
          <w:rFonts w:ascii="宋体" w:hAnsi="宋体" w:eastAsia="宋体" w:cs="宋体"/>
          <w:color w:val="000000" w:themeColor="text1"/>
          <w:sz w:val="24"/>
          <w:szCs w:val="24"/>
          <w14:textFill>
            <w14:solidFill>
              <w14:schemeClr w14:val="tx1"/>
            </w14:solidFill>
          </w14:textFill>
        </w:rPr>
        <w:t xml:space="preserve"> 届</w:t>
      </w:r>
      <w:r>
        <w:rPr>
          <w:rFonts w:hint="eastAsia" w:ascii="宋体" w:hAnsi="宋体" w:eastAsia="宋体" w:cs="宋体"/>
          <w:color w:val="000000" w:themeColor="text1"/>
          <w:sz w:val="24"/>
          <w:szCs w:val="24"/>
          <w14:textFill>
            <w14:solidFill>
              <w14:schemeClr w14:val="tx1"/>
            </w14:solidFill>
          </w14:textFill>
        </w:rPr>
        <w:t>）</w:t>
      </w:r>
    </w:p>
    <w:tbl>
      <w:tblPr>
        <w:tblStyle w:val="5"/>
        <w:tblW w:w="9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922"/>
        <w:gridCol w:w="1276"/>
        <w:gridCol w:w="1701"/>
        <w:gridCol w:w="1417"/>
        <w:gridCol w:w="2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92" w:type="dxa"/>
            <w:vAlign w:val="center"/>
          </w:tcPr>
          <w:p>
            <w:pPr>
              <w:spacing w:line="340" w:lineRule="exact"/>
              <w:jc w:val="center"/>
              <w:rPr>
                <w:rFonts w:ascii="宋体" w:hAnsi="宋体" w:eastAsia="宋体" w:cs="Times New Roman"/>
                <w:snapToGrid w:val="0"/>
                <w:color w:val="000000" w:themeColor="text1"/>
                <w:spacing w:val="4"/>
                <w:kern w:val="0"/>
                <w:sz w:val="24"/>
                <w:szCs w:val="24"/>
                <w14:textFill>
                  <w14:solidFill>
                    <w14:schemeClr w14:val="tx1"/>
                  </w14:solidFill>
                </w14:textFill>
              </w:rPr>
            </w:pPr>
            <w:r>
              <w:rPr>
                <w:rFonts w:hint="eastAsia" w:ascii="宋体" w:hAnsi="宋体" w:eastAsia="宋体" w:cs="Times New Roman"/>
                <w:snapToGrid w:val="0"/>
                <w:color w:val="000000" w:themeColor="text1"/>
                <w:spacing w:val="4"/>
                <w:kern w:val="0"/>
                <w:sz w:val="24"/>
                <w:szCs w:val="24"/>
                <w14:textFill>
                  <w14:solidFill>
                    <w14:schemeClr w14:val="tx1"/>
                  </w14:solidFill>
                </w14:textFill>
              </w:rPr>
              <w:t>姓  名</w:t>
            </w:r>
          </w:p>
        </w:tc>
        <w:tc>
          <w:tcPr>
            <w:tcW w:w="1922" w:type="dxa"/>
            <w:vAlign w:val="center"/>
          </w:tcPr>
          <w:p>
            <w:pPr>
              <w:spacing w:line="340" w:lineRule="exact"/>
              <w:jc w:val="center"/>
              <w:rPr>
                <w:rFonts w:ascii="宋体" w:hAnsi="宋体" w:eastAsia="宋体" w:cs="Times New Roman"/>
                <w:snapToGrid w:val="0"/>
                <w:color w:val="000000" w:themeColor="text1"/>
                <w:spacing w:val="4"/>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p>
        </w:tc>
        <w:tc>
          <w:tcPr>
            <w:tcW w:w="1276" w:type="dxa"/>
            <w:vAlign w:val="center"/>
          </w:tcPr>
          <w:p>
            <w:pPr>
              <w:spacing w:line="340" w:lineRule="exact"/>
              <w:jc w:val="center"/>
              <w:rPr>
                <w:rFonts w:ascii="宋体" w:hAnsi="宋体" w:eastAsia="宋体" w:cs="Times New Roman"/>
                <w:snapToGrid w:val="0"/>
                <w:color w:val="000000" w:themeColor="text1"/>
                <w:spacing w:val="4"/>
                <w:kern w:val="0"/>
                <w:sz w:val="24"/>
                <w:szCs w:val="24"/>
                <w14:textFill>
                  <w14:solidFill>
                    <w14:schemeClr w14:val="tx1"/>
                  </w14:solidFill>
                </w14:textFill>
              </w:rPr>
            </w:pPr>
            <w:r>
              <w:rPr>
                <w:rFonts w:hint="eastAsia" w:ascii="宋体" w:hAnsi="宋体" w:eastAsia="宋体" w:cs="Times New Roman"/>
                <w:snapToGrid w:val="0"/>
                <w:color w:val="000000" w:themeColor="text1"/>
                <w:spacing w:val="4"/>
                <w:kern w:val="0"/>
                <w:sz w:val="24"/>
                <w:szCs w:val="24"/>
                <w14:textFill>
                  <w14:solidFill>
                    <w14:schemeClr w14:val="tx1"/>
                  </w14:solidFill>
                </w14:textFill>
              </w:rPr>
              <w:t>性  别</w:t>
            </w:r>
          </w:p>
        </w:tc>
        <w:tc>
          <w:tcPr>
            <w:tcW w:w="1701" w:type="dxa"/>
            <w:vAlign w:val="center"/>
          </w:tcPr>
          <w:p>
            <w:pPr>
              <w:spacing w:line="340" w:lineRule="exact"/>
              <w:jc w:val="center"/>
              <w:rPr>
                <w:rFonts w:ascii="宋体" w:hAnsi="宋体" w:eastAsia="宋体" w:cs="Times New Roman"/>
                <w:snapToGrid w:val="0"/>
                <w:color w:val="000000" w:themeColor="text1"/>
                <w:spacing w:val="4"/>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p>
        </w:tc>
        <w:tc>
          <w:tcPr>
            <w:tcW w:w="1417" w:type="dxa"/>
            <w:vAlign w:val="center"/>
          </w:tcPr>
          <w:p>
            <w:pPr>
              <w:spacing w:line="340" w:lineRule="exact"/>
              <w:jc w:val="center"/>
              <w:rPr>
                <w:rFonts w:ascii="宋体" w:hAnsi="宋体" w:eastAsia="宋体" w:cs="Times New Roman"/>
                <w:snapToGrid w:val="0"/>
                <w:color w:val="000000" w:themeColor="text1"/>
                <w:spacing w:val="4"/>
                <w:kern w:val="0"/>
                <w:sz w:val="24"/>
                <w:szCs w:val="24"/>
                <w14:textFill>
                  <w14:solidFill>
                    <w14:schemeClr w14:val="tx1"/>
                  </w14:solidFill>
                </w14:textFill>
              </w:rPr>
            </w:pPr>
            <w:r>
              <w:rPr>
                <w:rFonts w:hint="eastAsia" w:ascii="宋体" w:hAnsi="宋体" w:eastAsia="宋体" w:cs="Times New Roman"/>
                <w:snapToGrid w:val="0"/>
                <w:color w:val="000000" w:themeColor="text1"/>
                <w:spacing w:val="4"/>
                <w:kern w:val="0"/>
                <w:sz w:val="24"/>
                <w:szCs w:val="24"/>
                <w14:textFill>
                  <w14:solidFill>
                    <w14:schemeClr w14:val="tx1"/>
                  </w14:solidFill>
                </w14:textFill>
              </w:rPr>
              <w:t>出生日期</w:t>
            </w:r>
          </w:p>
        </w:tc>
        <w:tc>
          <w:tcPr>
            <w:tcW w:w="2422" w:type="dxa"/>
            <w:vAlign w:val="center"/>
          </w:tcPr>
          <w:p>
            <w:pPr>
              <w:spacing w:line="340" w:lineRule="exact"/>
              <w:jc w:val="center"/>
              <w:rPr>
                <w:rFonts w:ascii="宋体" w:hAnsi="宋体" w:eastAsia="宋体" w:cs="Times New Roman"/>
                <w:snapToGrid w:val="0"/>
                <w:color w:val="000000" w:themeColor="text1"/>
                <w:spacing w:val="4"/>
                <w:kern w:val="0"/>
                <w:sz w:val="24"/>
                <w:szCs w:val="24"/>
                <w14:textFill>
                  <w14:solidFill>
                    <w14:schemeClr w14:val="tx1"/>
                  </w14:solidFill>
                </w14:textFill>
              </w:rPr>
            </w:pPr>
            <w:r>
              <w:rPr>
                <w:rFonts w:hint="eastAsia" w:ascii="宋体" w:hAnsi="宋体" w:eastAsia="宋体" w:cs="Times New Roman"/>
                <w:snapToGrid w:val="0"/>
                <w:color w:val="000000" w:themeColor="text1"/>
                <w:spacing w:val="4"/>
                <w:kern w:val="0"/>
                <w:sz w:val="24"/>
                <w:szCs w:val="24"/>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92" w:type="dxa"/>
            <w:vAlign w:val="center"/>
          </w:tcPr>
          <w:p>
            <w:pPr>
              <w:spacing w:line="340" w:lineRule="exact"/>
              <w:jc w:val="center"/>
              <w:rPr>
                <w:rFonts w:ascii="宋体" w:hAnsi="宋体" w:eastAsia="宋体" w:cs="Times New Roman"/>
                <w:snapToGrid w:val="0"/>
                <w:color w:val="000000" w:themeColor="text1"/>
                <w:spacing w:val="4"/>
                <w:kern w:val="0"/>
                <w:sz w:val="24"/>
                <w:szCs w:val="24"/>
                <w14:textFill>
                  <w14:solidFill>
                    <w14:schemeClr w14:val="tx1"/>
                  </w14:solidFill>
                </w14:textFill>
              </w:rPr>
            </w:pPr>
            <w:r>
              <w:rPr>
                <w:rFonts w:hint="eastAsia" w:ascii="宋体" w:hAnsi="宋体" w:eastAsia="宋体" w:cs="Times New Roman"/>
                <w:snapToGrid w:val="0"/>
                <w:color w:val="000000" w:themeColor="text1"/>
                <w:spacing w:val="4"/>
                <w:kern w:val="0"/>
                <w:sz w:val="24"/>
                <w:szCs w:val="24"/>
                <w14:textFill>
                  <w14:solidFill>
                    <w14:schemeClr w14:val="tx1"/>
                  </w14:solidFill>
                </w14:textFill>
              </w:rPr>
              <w:t>民  族</w:t>
            </w:r>
          </w:p>
        </w:tc>
        <w:tc>
          <w:tcPr>
            <w:tcW w:w="1922" w:type="dxa"/>
            <w:vAlign w:val="center"/>
          </w:tcPr>
          <w:p>
            <w:pPr>
              <w:spacing w:line="340" w:lineRule="exact"/>
              <w:jc w:val="center"/>
              <w:rPr>
                <w:rFonts w:ascii="宋体" w:hAnsi="宋体" w:eastAsia="宋体" w:cs="Times New Roman"/>
                <w:snapToGrid w:val="0"/>
                <w:color w:val="000000" w:themeColor="text1"/>
                <w:spacing w:val="4"/>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p>
        </w:tc>
        <w:tc>
          <w:tcPr>
            <w:tcW w:w="1276" w:type="dxa"/>
            <w:vAlign w:val="center"/>
          </w:tcPr>
          <w:p>
            <w:pPr>
              <w:spacing w:line="340" w:lineRule="exact"/>
              <w:jc w:val="center"/>
              <w:rPr>
                <w:rFonts w:ascii="宋体" w:hAnsi="宋体" w:eastAsia="宋体" w:cs="Times New Roman"/>
                <w:snapToGrid w:val="0"/>
                <w:color w:val="000000" w:themeColor="text1"/>
                <w:spacing w:val="4"/>
                <w:kern w:val="0"/>
                <w:sz w:val="24"/>
                <w:szCs w:val="24"/>
                <w14:textFill>
                  <w14:solidFill>
                    <w14:schemeClr w14:val="tx1"/>
                  </w14:solidFill>
                </w14:textFill>
              </w:rPr>
            </w:pPr>
            <w:r>
              <w:rPr>
                <w:rFonts w:hint="eastAsia" w:ascii="宋体" w:hAnsi="宋体" w:eastAsia="宋体" w:cs="Times New Roman"/>
                <w:snapToGrid w:val="0"/>
                <w:color w:val="000000" w:themeColor="text1"/>
                <w:spacing w:val="4"/>
                <w:kern w:val="0"/>
                <w:sz w:val="24"/>
                <w:szCs w:val="24"/>
                <w14:textFill>
                  <w14:solidFill>
                    <w14:schemeClr w14:val="tx1"/>
                  </w14:solidFill>
                </w14:textFill>
              </w:rPr>
              <w:t>政治面貌</w:t>
            </w:r>
          </w:p>
        </w:tc>
        <w:tc>
          <w:tcPr>
            <w:tcW w:w="1701" w:type="dxa"/>
            <w:vAlign w:val="center"/>
          </w:tcPr>
          <w:p>
            <w:pPr>
              <w:spacing w:line="340" w:lineRule="exact"/>
              <w:jc w:val="center"/>
              <w:rPr>
                <w:rFonts w:ascii="宋体" w:hAnsi="宋体" w:eastAsia="宋体" w:cs="Times New Roman"/>
                <w:snapToGrid w:val="0"/>
                <w:color w:val="000000" w:themeColor="text1"/>
                <w:spacing w:val="4"/>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p>
        </w:tc>
        <w:tc>
          <w:tcPr>
            <w:tcW w:w="1417" w:type="dxa"/>
            <w:vAlign w:val="center"/>
          </w:tcPr>
          <w:p>
            <w:pPr>
              <w:spacing w:line="340" w:lineRule="exact"/>
              <w:jc w:val="center"/>
              <w:rPr>
                <w:rFonts w:ascii="宋体" w:hAnsi="宋体" w:eastAsia="宋体" w:cs="Times New Roman"/>
                <w:snapToGrid w:val="0"/>
                <w:color w:val="000000" w:themeColor="text1"/>
                <w:spacing w:val="4"/>
                <w:kern w:val="0"/>
                <w:sz w:val="24"/>
                <w:szCs w:val="24"/>
                <w14:textFill>
                  <w14:solidFill>
                    <w14:schemeClr w14:val="tx1"/>
                  </w14:solidFill>
                </w14:textFill>
              </w:rPr>
            </w:pPr>
            <w:r>
              <w:rPr>
                <w:rFonts w:hint="eastAsia" w:ascii="宋体" w:hAnsi="宋体" w:eastAsia="宋体" w:cs="Times New Roman"/>
                <w:snapToGrid w:val="0"/>
                <w:color w:val="000000" w:themeColor="text1"/>
                <w:spacing w:val="4"/>
                <w:kern w:val="0"/>
                <w:sz w:val="24"/>
                <w:szCs w:val="24"/>
                <w14:textFill>
                  <w14:solidFill>
                    <w14:schemeClr w14:val="tx1"/>
                  </w14:solidFill>
                </w14:textFill>
              </w:rPr>
              <w:t>身份证号</w:t>
            </w:r>
          </w:p>
        </w:tc>
        <w:tc>
          <w:tcPr>
            <w:tcW w:w="2422" w:type="dxa"/>
            <w:vAlign w:val="center"/>
          </w:tcPr>
          <w:p>
            <w:pPr>
              <w:spacing w:line="340" w:lineRule="exact"/>
              <w:jc w:val="center"/>
              <w:rPr>
                <w:rFonts w:ascii="宋体" w:hAnsi="宋体" w:eastAsia="宋体" w:cs="Times New Roman"/>
                <w:snapToGrid w:val="0"/>
                <w:color w:val="000000" w:themeColor="text1"/>
                <w:spacing w:val="4"/>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92" w:type="dxa"/>
            <w:vAlign w:val="center"/>
          </w:tcPr>
          <w:p>
            <w:pPr>
              <w:spacing w:line="340" w:lineRule="exact"/>
              <w:jc w:val="center"/>
              <w:rPr>
                <w:rFonts w:ascii="宋体" w:hAnsi="宋体" w:eastAsia="宋体" w:cs="Times New Roman"/>
                <w:snapToGrid w:val="0"/>
                <w:color w:val="000000" w:themeColor="text1"/>
                <w:spacing w:val="4"/>
                <w:kern w:val="0"/>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所学专业</w:t>
            </w:r>
          </w:p>
        </w:tc>
        <w:tc>
          <w:tcPr>
            <w:tcW w:w="1922" w:type="dxa"/>
            <w:vAlign w:val="center"/>
          </w:tcPr>
          <w:p>
            <w:pPr>
              <w:spacing w:line="340" w:lineRule="exact"/>
              <w:jc w:val="center"/>
              <w:rPr>
                <w:rFonts w:ascii="宋体" w:hAnsi="宋体" w:eastAsia="宋体" w:cs="Times New Roman"/>
                <w:snapToGrid w:val="0"/>
                <w:color w:val="000000" w:themeColor="text1"/>
                <w:spacing w:val="4"/>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p>
        </w:tc>
        <w:tc>
          <w:tcPr>
            <w:tcW w:w="1276" w:type="dxa"/>
            <w:vAlign w:val="center"/>
          </w:tcPr>
          <w:p>
            <w:pPr>
              <w:spacing w:line="340" w:lineRule="exact"/>
              <w:jc w:val="center"/>
              <w:rPr>
                <w:rFonts w:ascii="宋体" w:hAnsi="宋体" w:eastAsia="宋体" w:cs="Times New Roman"/>
                <w:snapToGrid w:val="0"/>
                <w:color w:val="000000" w:themeColor="text1"/>
                <w:spacing w:val="4"/>
                <w:kern w:val="0"/>
                <w:sz w:val="24"/>
                <w:szCs w:val="24"/>
                <w14:textFill>
                  <w14:solidFill>
                    <w14:schemeClr w14:val="tx1"/>
                  </w14:solidFill>
                </w14:textFill>
              </w:rPr>
            </w:pPr>
            <w:r>
              <w:rPr>
                <w:rFonts w:hint="eastAsia" w:ascii="宋体" w:hAnsi="宋体" w:eastAsia="宋体" w:cs="Times New Roman"/>
                <w:snapToGrid w:val="0"/>
                <w:color w:val="000000" w:themeColor="text1"/>
                <w:spacing w:val="4"/>
                <w:kern w:val="0"/>
                <w:sz w:val="24"/>
                <w:szCs w:val="24"/>
                <w14:textFill>
                  <w14:solidFill>
                    <w14:schemeClr w14:val="tx1"/>
                  </w14:solidFill>
                </w14:textFill>
              </w:rPr>
              <w:t>学历学位</w:t>
            </w:r>
          </w:p>
        </w:tc>
        <w:tc>
          <w:tcPr>
            <w:tcW w:w="1701" w:type="dxa"/>
            <w:vAlign w:val="center"/>
          </w:tcPr>
          <w:p>
            <w:pPr>
              <w:spacing w:line="340" w:lineRule="exact"/>
              <w:jc w:val="center"/>
              <w:rPr>
                <w:rFonts w:ascii="宋体" w:hAnsi="宋体" w:eastAsia="宋体" w:cs="Times New Roman"/>
                <w:snapToGrid w:val="0"/>
                <w:color w:val="000000" w:themeColor="text1"/>
                <w:spacing w:val="4"/>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p>
        </w:tc>
        <w:tc>
          <w:tcPr>
            <w:tcW w:w="1417" w:type="dxa"/>
            <w:vAlign w:val="center"/>
          </w:tcPr>
          <w:p>
            <w:pPr>
              <w:spacing w:line="340" w:lineRule="exact"/>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获评技术</w:t>
            </w:r>
          </w:p>
          <w:p>
            <w:pPr>
              <w:spacing w:line="340" w:lineRule="exact"/>
              <w:rPr>
                <w:rFonts w:ascii="宋体" w:hAnsi="宋体" w:eastAsia="宋体" w:cs="Times New Roman"/>
                <w:snapToGrid w:val="0"/>
                <w:color w:val="000000" w:themeColor="text1"/>
                <w:spacing w:val="4"/>
                <w:kern w:val="0"/>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职务与时间</w:t>
            </w:r>
          </w:p>
        </w:tc>
        <w:tc>
          <w:tcPr>
            <w:tcW w:w="2422" w:type="dxa"/>
            <w:vAlign w:val="center"/>
          </w:tcPr>
          <w:p>
            <w:pPr>
              <w:spacing w:line="34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114" w:type="dxa"/>
            <w:gridSpan w:val="2"/>
            <w:vAlign w:val="center"/>
          </w:tcPr>
          <w:p>
            <w:pPr>
              <w:ind w:leftChars="-45" w:hanging="93" w:hangingChars="39"/>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房地产估价师执业年份</w:t>
            </w:r>
          </w:p>
          <w:p>
            <w:pPr>
              <w:ind w:leftChars="-45" w:hanging="93" w:hangingChars="39"/>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及累计执业时间</w:t>
            </w:r>
          </w:p>
        </w:tc>
        <w:tc>
          <w:tcPr>
            <w:tcW w:w="1276" w:type="dxa"/>
            <w:vAlign w:val="center"/>
          </w:tcPr>
          <w:p>
            <w:pPr>
              <w:ind w:leftChars="-45" w:hanging="93" w:hangingChars="39"/>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p>
        </w:tc>
        <w:tc>
          <w:tcPr>
            <w:tcW w:w="1701" w:type="dxa"/>
            <w:vAlign w:val="center"/>
          </w:tcPr>
          <w:p>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取得估价相关全国执业资格</w:t>
            </w:r>
          </w:p>
        </w:tc>
        <w:tc>
          <w:tcPr>
            <w:tcW w:w="3839" w:type="dxa"/>
            <w:gridSpan w:val="2"/>
            <w:vAlign w:val="center"/>
          </w:tcPr>
          <w:p>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114" w:type="dxa"/>
            <w:gridSpan w:val="2"/>
            <w:vAlign w:val="center"/>
          </w:tcPr>
          <w:p>
            <w:pPr>
              <w:ind w:leftChars="-45" w:hanging="93" w:hangingChars="39"/>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所在估价机构法人注册地</w:t>
            </w:r>
          </w:p>
        </w:tc>
        <w:tc>
          <w:tcPr>
            <w:tcW w:w="1276" w:type="dxa"/>
            <w:vAlign w:val="center"/>
          </w:tcPr>
          <w:p>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p>
        </w:tc>
        <w:tc>
          <w:tcPr>
            <w:tcW w:w="1701" w:type="dxa"/>
            <w:vAlign w:val="center"/>
          </w:tcPr>
          <w:p>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曾受到行政处罚</w:t>
            </w:r>
          </w:p>
        </w:tc>
        <w:tc>
          <w:tcPr>
            <w:tcW w:w="3839" w:type="dxa"/>
            <w:gridSpan w:val="2"/>
            <w:vAlign w:val="center"/>
          </w:tcPr>
          <w:p>
            <w:pPr>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92" w:type="dxa"/>
            <w:vAlign w:val="center"/>
          </w:tcPr>
          <w:p>
            <w:pPr>
              <w:spacing w:line="340" w:lineRule="exact"/>
              <w:jc w:val="center"/>
              <w:rPr>
                <w:rFonts w:ascii="宋体" w:hAnsi="宋体" w:eastAsia="宋体" w:cs="Times New Roman"/>
                <w:snapToGrid w:val="0"/>
                <w:color w:val="000000" w:themeColor="text1"/>
                <w:spacing w:val="4"/>
                <w:kern w:val="0"/>
                <w:sz w:val="24"/>
                <w:szCs w:val="24"/>
                <w14:textFill>
                  <w14:solidFill>
                    <w14:schemeClr w14:val="tx1"/>
                  </w14:solidFill>
                </w14:textFill>
              </w:rPr>
            </w:pPr>
            <w:r>
              <w:rPr>
                <w:rFonts w:hint="eastAsia" w:ascii="宋体" w:hAnsi="宋体" w:eastAsia="宋体" w:cs="Times New Roman"/>
                <w:snapToGrid w:val="0"/>
                <w:color w:val="000000" w:themeColor="text1"/>
                <w:spacing w:val="4"/>
                <w:kern w:val="0"/>
                <w:sz w:val="24"/>
                <w:szCs w:val="24"/>
                <w14:textFill>
                  <w14:solidFill>
                    <w14:schemeClr w14:val="tx1"/>
                  </w14:solidFill>
                </w14:textFill>
              </w:rPr>
              <w:t>手  机</w:t>
            </w:r>
          </w:p>
        </w:tc>
        <w:tc>
          <w:tcPr>
            <w:tcW w:w="3198" w:type="dxa"/>
            <w:gridSpan w:val="2"/>
            <w:vAlign w:val="center"/>
          </w:tcPr>
          <w:p>
            <w:pPr>
              <w:spacing w:line="340" w:lineRule="exact"/>
              <w:jc w:val="center"/>
              <w:rPr>
                <w:rFonts w:ascii="宋体" w:hAnsi="宋体" w:eastAsia="宋体" w:cs="Times New Roman"/>
                <w:snapToGrid w:val="0"/>
                <w:color w:val="000000" w:themeColor="text1"/>
                <w:spacing w:val="4"/>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p>
        </w:tc>
        <w:tc>
          <w:tcPr>
            <w:tcW w:w="1701" w:type="dxa"/>
            <w:vAlign w:val="center"/>
          </w:tcPr>
          <w:p>
            <w:pPr>
              <w:spacing w:line="340" w:lineRule="exact"/>
              <w:jc w:val="center"/>
              <w:rPr>
                <w:rFonts w:ascii="宋体" w:hAnsi="宋体" w:eastAsia="宋体" w:cs="Times New Roman"/>
                <w:snapToGrid w:val="0"/>
                <w:color w:val="000000" w:themeColor="text1"/>
                <w:spacing w:val="4"/>
                <w:kern w:val="0"/>
                <w:sz w:val="24"/>
                <w:szCs w:val="24"/>
                <w14:textFill>
                  <w14:solidFill>
                    <w14:schemeClr w14:val="tx1"/>
                  </w14:solidFill>
                </w14:textFill>
              </w:rPr>
            </w:pPr>
            <w:r>
              <w:rPr>
                <w:rFonts w:hint="eastAsia" w:ascii="宋体" w:hAnsi="宋体" w:eastAsia="宋体" w:cs="Times New Roman"/>
                <w:snapToGrid w:val="0"/>
                <w:color w:val="000000" w:themeColor="text1"/>
                <w:spacing w:val="4"/>
                <w:kern w:val="0"/>
                <w:sz w:val="24"/>
                <w:szCs w:val="24"/>
                <w14:textFill>
                  <w14:solidFill>
                    <w14:schemeClr w14:val="tx1"/>
                  </w14:solidFill>
                </w14:textFill>
              </w:rPr>
              <w:t>E-mail</w:t>
            </w:r>
          </w:p>
        </w:tc>
        <w:tc>
          <w:tcPr>
            <w:tcW w:w="3839" w:type="dxa"/>
            <w:gridSpan w:val="2"/>
            <w:vAlign w:val="center"/>
          </w:tcPr>
          <w:p>
            <w:pPr>
              <w:spacing w:line="340" w:lineRule="exact"/>
              <w:jc w:val="center"/>
              <w:rPr>
                <w:rFonts w:ascii="宋体" w:hAnsi="宋体" w:eastAsia="宋体" w:cs="Times New Roman"/>
                <w:snapToGrid w:val="0"/>
                <w:color w:val="000000" w:themeColor="text1"/>
                <w:spacing w:val="4"/>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92" w:type="dxa"/>
            <w:vAlign w:val="center"/>
          </w:tcPr>
          <w:p>
            <w:pPr>
              <w:ind w:leftChars="-45" w:hanging="93" w:hangingChars="39"/>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工作单位</w:t>
            </w:r>
          </w:p>
        </w:tc>
        <w:tc>
          <w:tcPr>
            <w:tcW w:w="4899" w:type="dxa"/>
            <w:gridSpan w:val="3"/>
            <w:vAlign w:val="center"/>
          </w:tcPr>
          <w:p>
            <w:pPr>
              <w:spacing w:line="340" w:lineRule="exact"/>
              <w:jc w:val="center"/>
              <w:rPr>
                <w:rFonts w:ascii="宋体" w:hAnsi="宋体" w:eastAsia="宋体" w:cs="Times New Roman"/>
                <w:snapToGrid w:val="0"/>
                <w:color w:val="000000" w:themeColor="text1"/>
                <w:spacing w:val="4"/>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p>
        </w:tc>
        <w:tc>
          <w:tcPr>
            <w:tcW w:w="1417" w:type="dxa"/>
            <w:vAlign w:val="center"/>
          </w:tcPr>
          <w:p>
            <w:pPr>
              <w:spacing w:line="340" w:lineRule="exact"/>
              <w:jc w:val="center"/>
              <w:rPr>
                <w:rFonts w:ascii="宋体" w:hAnsi="宋体" w:eastAsia="宋体" w:cs="Times New Roman"/>
                <w:snapToGrid w:val="0"/>
                <w:color w:val="000000" w:themeColor="text1"/>
                <w:spacing w:val="4"/>
                <w:kern w:val="0"/>
                <w:sz w:val="24"/>
                <w:szCs w:val="24"/>
                <w14:textFill>
                  <w14:solidFill>
                    <w14:schemeClr w14:val="tx1"/>
                  </w14:solidFill>
                </w14:textFill>
              </w:rPr>
            </w:pPr>
            <w:r>
              <w:rPr>
                <w:rFonts w:hint="eastAsia" w:ascii="宋体" w:hAnsi="宋体" w:eastAsia="宋体" w:cs="Times New Roman"/>
                <w:snapToGrid w:val="0"/>
                <w:color w:val="000000" w:themeColor="text1"/>
                <w:spacing w:val="4"/>
                <w:kern w:val="0"/>
                <w:sz w:val="24"/>
                <w:szCs w:val="24"/>
                <w14:textFill>
                  <w14:solidFill>
                    <w14:schemeClr w14:val="tx1"/>
                  </w14:solidFill>
                </w14:textFill>
              </w:rPr>
              <w:t>单位职务</w:t>
            </w:r>
          </w:p>
        </w:tc>
        <w:tc>
          <w:tcPr>
            <w:tcW w:w="2422" w:type="dxa"/>
            <w:vAlign w:val="center"/>
          </w:tcPr>
          <w:p>
            <w:pPr>
              <w:spacing w:line="340" w:lineRule="exact"/>
              <w:jc w:val="center"/>
              <w:rPr>
                <w:rFonts w:ascii="宋体" w:hAnsi="宋体" w:eastAsia="宋体" w:cs="Times New Roman"/>
                <w:snapToGrid w:val="0"/>
                <w:color w:val="000000" w:themeColor="text1"/>
                <w:spacing w:val="4"/>
                <w:kern w:val="0"/>
                <w:sz w:val="24"/>
                <w:szCs w:val="24"/>
                <w14:textFill>
                  <w14:solidFill>
                    <w14:schemeClr w14:val="tx1"/>
                  </w14:solidFill>
                </w14:textFill>
              </w:rPr>
            </w:pPr>
            <w:r>
              <w:rPr>
                <w:rFonts w:hint="eastAsia" w:ascii="宋体" w:hAnsi="宋体" w:eastAsia="宋体" w:cs="Times New Roman"/>
                <w:snapToGrid w:val="0"/>
                <w:color w:val="000000" w:themeColor="text1"/>
                <w:spacing w:val="4"/>
                <w:kern w:val="0"/>
                <w:sz w:val="24"/>
                <w:szCs w:val="24"/>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92" w:type="dxa"/>
            <w:vAlign w:val="center"/>
          </w:tcPr>
          <w:p>
            <w:pPr>
              <w:ind w:leftChars="-45" w:hanging="93" w:hangingChars="39"/>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通讯地址</w:t>
            </w:r>
          </w:p>
        </w:tc>
        <w:tc>
          <w:tcPr>
            <w:tcW w:w="4899" w:type="dxa"/>
            <w:gridSpan w:val="3"/>
            <w:vAlign w:val="center"/>
          </w:tcPr>
          <w:p>
            <w:pPr>
              <w:spacing w:line="340" w:lineRule="exact"/>
              <w:rPr>
                <w:rFonts w:ascii="宋体" w:hAnsi="宋体" w:eastAsia="宋体" w:cs="Times New Roman"/>
                <w:snapToGrid w:val="0"/>
                <w:color w:val="000000" w:themeColor="text1"/>
                <w:spacing w:val="4"/>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p>
        </w:tc>
        <w:tc>
          <w:tcPr>
            <w:tcW w:w="1417" w:type="dxa"/>
            <w:vAlign w:val="center"/>
          </w:tcPr>
          <w:p>
            <w:pPr>
              <w:spacing w:line="340" w:lineRule="exact"/>
              <w:jc w:val="center"/>
              <w:rPr>
                <w:rFonts w:ascii="宋体" w:hAnsi="宋体" w:eastAsia="宋体" w:cs="Times New Roman"/>
                <w:snapToGrid w:val="0"/>
                <w:color w:val="000000" w:themeColor="text1"/>
                <w:spacing w:val="4"/>
                <w:kern w:val="0"/>
                <w:sz w:val="24"/>
                <w:szCs w:val="24"/>
                <w14:textFill>
                  <w14:solidFill>
                    <w14:schemeClr w14:val="tx1"/>
                  </w14:solidFill>
                </w14:textFill>
              </w:rPr>
            </w:pPr>
            <w:r>
              <w:rPr>
                <w:rFonts w:hint="eastAsia" w:ascii="宋体" w:hAnsi="宋体" w:eastAsia="宋体" w:cs="Times New Roman"/>
                <w:snapToGrid w:val="0"/>
                <w:color w:val="000000" w:themeColor="text1"/>
                <w:spacing w:val="4"/>
                <w:kern w:val="0"/>
                <w:sz w:val="24"/>
                <w:szCs w:val="24"/>
                <w14:textFill>
                  <w14:solidFill>
                    <w14:schemeClr w14:val="tx1"/>
                  </w14:solidFill>
                </w14:textFill>
              </w:rPr>
              <w:t>邮  编</w:t>
            </w:r>
          </w:p>
        </w:tc>
        <w:tc>
          <w:tcPr>
            <w:tcW w:w="2422" w:type="dxa"/>
            <w:vAlign w:val="center"/>
          </w:tcPr>
          <w:p>
            <w:pPr>
              <w:spacing w:line="340" w:lineRule="exact"/>
              <w:jc w:val="center"/>
              <w:rPr>
                <w:rFonts w:ascii="宋体" w:hAnsi="宋体" w:eastAsia="宋体" w:cs="Times New Roman"/>
                <w:snapToGrid w:val="0"/>
                <w:color w:val="000000" w:themeColor="text1"/>
                <w:spacing w:val="4"/>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5" w:hRule="atLeast"/>
          <w:jc w:val="center"/>
        </w:trPr>
        <w:tc>
          <w:tcPr>
            <w:tcW w:w="1192" w:type="dxa"/>
            <w:vAlign w:val="center"/>
          </w:tcPr>
          <w:p>
            <w:pPr>
              <w:spacing w:line="340" w:lineRule="exact"/>
              <w:jc w:val="center"/>
              <w:rPr>
                <w:rFonts w:ascii="宋体" w:hAnsi="宋体" w:eastAsia="宋体" w:cs="Times New Roman"/>
                <w:snapToGrid w:val="0"/>
                <w:color w:val="000000" w:themeColor="text1"/>
                <w:spacing w:val="4"/>
                <w:kern w:val="0"/>
                <w:sz w:val="24"/>
                <w:szCs w:val="24"/>
                <w14:textFill>
                  <w14:solidFill>
                    <w14:schemeClr w14:val="tx1"/>
                  </w14:solidFill>
                </w14:textFill>
              </w:rPr>
            </w:pPr>
            <w:r>
              <w:rPr>
                <w:rFonts w:hint="eastAsia" w:ascii="宋体" w:hAnsi="宋体" w:eastAsia="宋体" w:cs="Times New Roman"/>
                <w:snapToGrid w:val="0"/>
                <w:color w:val="000000" w:themeColor="text1"/>
                <w:spacing w:val="4"/>
                <w:kern w:val="0"/>
                <w:sz w:val="24"/>
                <w:szCs w:val="24"/>
                <w14:textFill>
                  <w14:solidFill>
                    <w14:schemeClr w14:val="tx1"/>
                  </w14:solidFill>
                </w14:textFill>
              </w:rPr>
              <w:t>个人</w:t>
            </w:r>
          </w:p>
          <w:p>
            <w:pPr>
              <w:spacing w:line="340" w:lineRule="exact"/>
              <w:jc w:val="center"/>
              <w:rPr>
                <w:rFonts w:ascii="宋体" w:hAnsi="宋体" w:eastAsia="宋体" w:cs="Times New Roman"/>
                <w:snapToGrid w:val="0"/>
                <w:color w:val="000000" w:themeColor="text1"/>
                <w:spacing w:val="4"/>
                <w:kern w:val="0"/>
                <w:sz w:val="24"/>
                <w:szCs w:val="24"/>
                <w14:textFill>
                  <w14:solidFill>
                    <w14:schemeClr w14:val="tx1"/>
                  </w14:solidFill>
                </w14:textFill>
              </w:rPr>
            </w:pPr>
            <w:r>
              <w:rPr>
                <w:rFonts w:hint="eastAsia" w:ascii="宋体" w:hAnsi="宋体" w:eastAsia="宋体" w:cs="Times New Roman"/>
                <w:snapToGrid w:val="0"/>
                <w:color w:val="000000" w:themeColor="text1"/>
                <w:spacing w:val="4"/>
                <w:kern w:val="0"/>
                <w:sz w:val="24"/>
                <w:szCs w:val="24"/>
                <w14:textFill>
                  <w14:solidFill>
                    <w14:schemeClr w14:val="tx1"/>
                  </w14:solidFill>
                </w14:textFill>
              </w:rPr>
              <w:t>工作</w:t>
            </w:r>
          </w:p>
          <w:p>
            <w:pPr>
              <w:spacing w:line="340" w:lineRule="exact"/>
              <w:jc w:val="center"/>
              <w:rPr>
                <w:rFonts w:ascii="宋体" w:hAnsi="宋体" w:eastAsia="宋体" w:cs="Times New Roman"/>
                <w:snapToGrid w:val="0"/>
                <w:color w:val="000000" w:themeColor="text1"/>
                <w:spacing w:val="4"/>
                <w:kern w:val="0"/>
                <w:sz w:val="24"/>
                <w:szCs w:val="24"/>
                <w14:textFill>
                  <w14:solidFill>
                    <w14:schemeClr w14:val="tx1"/>
                  </w14:solidFill>
                </w14:textFill>
              </w:rPr>
            </w:pPr>
            <w:r>
              <w:rPr>
                <w:rFonts w:hint="eastAsia" w:ascii="宋体" w:hAnsi="宋体" w:eastAsia="宋体" w:cs="Times New Roman"/>
                <w:snapToGrid w:val="0"/>
                <w:color w:val="000000" w:themeColor="text1"/>
                <w:spacing w:val="4"/>
                <w:kern w:val="0"/>
                <w:sz w:val="24"/>
                <w:szCs w:val="24"/>
                <w14:textFill>
                  <w14:solidFill>
                    <w14:schemeClr w14:val="tx1"/>
                  </w14:solidFill>
                </w14:textFill>
              </w:rPr>
              <w:t>与</w:t>
            </w:r>
          </w:p>
          <w:p>
            <w:pPr>
              <w:spacing w:line="340" w:lineRule="exact"/>
              <w:jc w:val="center"/>
              <w:rPr>
                <w:rFonts w:ascii="宋体" w:hAnsi="宋体" w:eastAsia="宋体" w:cs="Times New Roman"/>
                <w:snapToGrid w:val="0"/>
                <w:color w:val="000000" w:themeColor="text1"/>
                <w:spacing w:val="4"/>
                <w:kern w:val="0"/>
                <w:sz w:val="24"/>
                <w:szCs w:val="24"/>
                <w14:textFill>
                  <w14:solidFill>
                    <w14:schemeClr w14:val="tx1"/>
                  </w14:solidFill>
                </w14:textFill>
              </w:rPr>
            </w:pPr>
            <w:r>
              <w:rPr>
                <w:rFonts w:hint="eastAsia" w:ascii="宋体" w:hAnsi="宋体" w:eastAsia="宋体" w:cs="Times New Roman"/>
                <w:snapToGrid w:val="0"/>
                <w:color w:val="000000" w:themeColor="text1"/>
                <w:spacing w:val="4"/>
                <w:kern w:val="0"/>
                <w:sz w:val="24"/>
                <w:szCs w:val="24"/>
                <w14:textFill>
                  <w14:solidFill>
                    <w14:schemeClr w14:val="tx1"/>
                  </w14:solidFill>
                </w14:textFill>
              </w:rPr>
              <w:t>学习</w:t>
            </w:r>
          </w:p>
          <w:p>
            <w:pPr>
              <w:spacing w:line="340" w:lineRule="exact"/>
              <w:jc w:val="center"/>
              <w:rPr>
                <w:rFonts w:ascii="宋体" w:hAnsi="宋体" w:eastAsia="宋体" w:cs="Times New Roman"/>
                <w:snapToGrid w:val="0"/>
                <w:color w:val="000000" w:themeColor="text1"/>
                <w:spacing w:val="4"/>
                <w:kern w:val="0"/>
                <w:sz w:val="24"/>
                <w:szCs w:val="24"/>
                <w14:textFill>
                  <w14:solidFill>
                    <w14:schemeClr w14:val="tx1"/>
                  </w14:solidFill>
                </w14:textFill>
              </w:rPr>
            </w:pPr>
            <w:r>
              <w:rPr>
                <w:rFonts w:ascii="宋体" w:hAnsi="宋体" w:eastAsia="宋体" w:cs="Times New Roman"/>
                <w:snapToGrid w:val="0"/>
                <w:color w:val="000000" w:themeColor="text1"/>
                <w:spacing w:val="4"/>
                <w:kern w:val="0"/>
                <w:sz w:val="24"/>
                <w:szCs w:val="24"/>
                <w14:textFill>
                  <w14:solidFill>
                    <w14:schemeClr w14:val="tx1"/>
                  </w14:solidFill>
                </w14:textFill>
              </w:rPr>
              <w:t>简历</w:t>
            </w:r>
          </w:p>
        </w:tc>
        <w:tc>
          <w:tcPr>
            <w:tcW w:w="8738" w:type="dxa"/>
            <w:gridSpan w:val="5"/>
          </w:tcPr>
          <w:p>
            <w:pPr>
              <w:spacing w:line="340" w:lineRule="exact"/>
              <w:ind w:right="420"/>
              <w:jc w:val="left"/>
              <w:rPr>
                <w:rFonts w:ascii="宋体" w:hAnsi="宋体" w:eastAsia="宋体" w:cs="Times New Roman"/>
                <w:snapToGrid w:val="0"/>
                <w:color w:val="000000" w:themeColor="text1"/>
                <w:spacing w:val="4"/>
                <w:kern w:val="0"/>
                <w:sz w:val="24"/>
                <w:szCs w:val="24"/>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7" w:hRule="atLeast"/>
          <w:jc w:val="center"/>
        </w:trPr>
        <w:tc>
          <w:tcPr>
            <w:tcW w:w="1192" w:type="dxa"/>
            <w:vAlign w:val="center"/>
          </w:tcPr>
          <w:p>
            <w:pPr>
              <w:spacing w:line="340" w:lineRule="exact"/>
              <w:jc w:val="center"/>
              <w:rPr>
                <w:rFonts w:ascii="宋体" w:hAnsi="宋体" w:eastAsia="宋体" w:cs="Times New Roman"/>
                <w:snapToGrid w:val="0"/>
                <w:color w:val="000000" w:themeColor="text1"/>
                <w:spacing w:val="4"/>
                <w:kern w:val="0"/>
                <w:sz w:val="24"/>
                <w:szCs w:val="24"/>
                <w14:textFill>
                  <w14:solidFill>
                    <w14:schemeClr w14:val="tx1"/>
                  </w14:solidFill>
                </w14:textFill>
              </w:rPr>
            </w:pPr>
            <w:r>
              <w:rPr>
                <w:rFonts w:hint="eastAsia" w:ascii="宋体" w:hAnsi="宋体" w:eastAsia="宋体" w:cs="Times New Roman"/>
                <w:snapToGrid w:val="0"/>
                <w:color w:val="000000" w:themeColor="text1"/>
                <w:spacing w:val="4"/>
                <w:kern w:val="0"/>
                <w:sz w:val="24"/>
                <w:szCs w:val="24"/>
                <w14:textFill>
                  <w14:solidFill>
                    <w14:schemeClr w14:val="tx1"/>
                  </w14:solidFill>
                </w14:textFill>
              </w:rPr>
              <w:t>近五年承担福建省</w:t>
            </w:r>
          </w:p>
          <w:p>
            <w:pPr>
              <w:spacing w:line="340" w:lineRule="exact"/>
              <w:jc w:val="center"/>
              <w:rPr>
                <w:rFonts w:ascii="宋体" w:hAnsi="宋体" w:eastAsia="宋体" w:cs="Times New Roman"/>
                <w:snapToGrid w:val="0"/>
                <w:color w:val="000000" w:themeColor="text1"/>
                <w:spacing w:val="4"/>
                <w:kern w:val="0"/>
                <w:sz w:val="24"/>
                <w:szCs w:val="24"/>
                <w14:textFill>
                  <w14:solidFill>
                    <w14:schemeClr w14:val="tx1"/>
                  </w14:solidFill>
                </w14:textFill>
              </w:rPr>
            </w:pPr>
            <w:r>
              <w:rPr>
                <w:rFonts w:hint="eastAsia" w:ascii="宋体" w:hAnsi="宋体" w:eastAsia="宋体" w:cs="Times New Roman"/>
                <w:snapToGrid w:val="0"/>
                <w:color w:val="000000" w:themeColor="text1"/>
                <w:spacing w:val="4"/>
                <w:kern w:val="0"/>
                <w:sz w:val="24"/>
                <w:szCs w:val="24"/>
                <w14:textFill>
                  <w14:solidFill>
                    <w14:schemeClr w14:val="tx1"/>
                  </w14:solidFill>
                </w14:textFill>
              </w:rPr>
              <w:t>住建厅</w:t>
            </w:r>
          </w:p>
          <w:p>
            <w:pPr>
              <w:spacing w:line="340" w:lineRule="exact"/>
              <w:jc w:val="center"/>
              <w:rPr>
                <w:rFonts w:ascii="宋体" w:hAnsi="宋体" w:eastAsia="宋体" w:cs="Times New Roman"/>
                <w:snapToGrid w:val="0"/>
                <w:color w:val="000000" w:themeColor="text1"/>
                <w:spacing w:val="4"/>
                <w:kern w:val="0"/>
                <w:sz w:val="24"/>
                <w:szCs w:val="24"/>
                <w14:textFill>
                  <w14:solidFill>
                    <w14:schemeClr w14:val="tx1"/>
                  </w14:solidFill>
                </w14:textFill>
              </w:rPr>
            </w:pPr>
            <w:r>
              <w:rPr>
                <w:rFonts w:hint="eastAsia" w:ascii="宋体" w:hAnsi="宋体" w:eastAsia="宋体" w:cs="Times New Roman"/>
                <w:snapToGrid w:val="0"/>
                <w:color w:val="000000" w:themeColor="text1"/>
                <w:spacing w:val="4"/>
                <w:kern w:val="0"/>
                <w:sz w:val="24"/>
                <w:szCs w:val="24"/>
                <w14:textFill>
                  <w14:solidFill>
                    <w14:schemeClr w14:val="tx1"/>
                  </w14:solidFill>
                </w14:textFill>
              </w:rPr>
              <w:t>组织</w:t>
            </w:r>
          </w:p>
          <w:p>
            <w:pPr>
              <w:spacing w:line="340" w:lineRule="exact"/>
              <w:jc w:val="center"/>
              <w:rPr>
                <w:rFonts w:ascii="宋体" w:hAnsi="宋体" w:eastAsia="宋体" w:cs="Times New Roman"/>
                <w:snapToGrid w:val="0"/>
                <w:color w:val="000000" w:themeColor="text1"/>
                <w:spacing w:val="4"/>
                <w:kern w:val="0"/>
                <w:sz w:val="24"/>
                <w:szCs w:val="24"/>
                <w14:textFill>
                  <w14:solidFill>
                    <w14:schemeClr w14:val="tx1"/>
                  </w14:solidFill>
                </w14:textFill>
              </w:rPr>
            </w:pPr>
            <w:r>
              <w:rPr>
                <w:rFonts w:hint="eastAsia" w:ascii="宋体" w:hAnsi="宋体" w:eastAsia="宋体" w:cs="Times New Roman"/>
                <w:snapToGrid w:val="0"/>
                <w:color w:val="000000" w:themeColor="text1"/>
                <w:spacing w:val="4"/>
                <w:kern w:val="0"/>
                <w:sz w:val="24"/>
                <w:szCs w:val="24"/>
                <w14:textFill>
                  <w14:solidFill>
                    <w14:schemeClr w14:val="tx1"/>
                  </w14:solidFill>
                </w14:textFill>
              </w:rPr>
              <w:t>继续</w:t>
            </w:r>
          </w:p>
          <w:p>
            <w:pPr>
              <w:spacing w:line="340" w:lineRule="exact"/>
              <w:jc w:val="center"/>
              <w:rPr>
                <w:rFonts w:ascii="宋体" w:hAnsi="宋体" w:eastAsia="宋体" w:cs="Times New Roman"/>
                <w:snapToGrid w:val="0"/>
                <w:color w:val="000000" w:themeColor="text1"/>
                <w:spacing w:val="4"/>
                <w:kern w:val="0"/>
                <w:sz w:val="24"/>
                <w:szCs w:val="24"/>
                <w14:textFill>
                  <w14:solidFill>
                    <w14:schemeClr w14:val="tx1"/>
                  </w14:solidFill>
                </w14:textFill>
              </w:rPr>
            </w:pPr>
            <w:r>
              <w:rPr>
                <w:rFonts w:hint="eastAsia" w:ascii="宋体" w:hAnsi="宋体" w:eastAsia="宋体" w:cs="Times New Roman"/>
                <w:snapToGrid w:val="0"/>
                <w:color w:val="000000" w:themeColor="text1"/>
                <w:spacing w:val="4"/>
                <w:kern w:val="0"/>
                <w:sz w:val="24"/>
                <w:szCs w:val="24"/>
                <w14:textFill>
                  <w14:solidFill>
                    <w14:schemeClr w14:val="tx1"/>
                  </w14:solidFill>
                </w14:textFill>
              </w:rPr>
              <w:t>教育</w:t>
            </w:r>
          </w:p>
          <w:p>
            <w:pPr>
              <w:spacing w:line="340" w:lineRule="exact"/>
              <w:jc w:val="center"/>
              <w:rPr>
                <w:rFonts w:ascii="宋体" w:hAnsi="宋体" w:eastAsia="宋体" w:cs="Times New Roman"/>
                <w:snapToGrid w:val="0"/>
                <w:color w:val="000000" w:themeColor="text1"/>
                <w:spacing w:val="4"/>
                <w:kern w:val="0"/>
                <w:sz w:val="24"/>
                <w:szCs w:val="24"/>
                <w14:textFill>
                  <w14:solidFill>
                    <w14:schemeClr w14:val="tx1"/>
                  </w14:solidFill>
                </w14:textFill>
              </w:rPr>
            </w:pPr>
            <w:r>
              <w:rPr>
                <w:rFonts w:hint="eastAsia" w:ascii="宋体" w:hAnsi="宋体" w:eastAsia="宋体" w:cs="Times New Roman"/>
                <w:snapToGrid w:val="0"/>
                <w:color w:val="000000" w:themeColor="text1"/>
                <w:spacing w:val="4"/>
                <w:kern w:val="0"/>
                <w:sz w:val="24"/>
                <w:szCs w:val="24"/>
                <w14:textFill>
                  <w14:solidFill>
                    <w14:schemeClr w14:val="tx1"/>
                  </w14:solidFill>
                </w14:textFill>
              </w:rPr>
              <w:t>课程</w:t>
            </w:r>
          </w:p>
        </w:tc>
        <w:tc>
          <w:tcPr>
            <w:tcW w:w="8738" w:type="dxa"/>
            <w:gridSpan w:val="5"/>
          </w:tcPr>
          <w:p>
            <w:pPr>
              <w:spacing w:line="340" w:lineRule="exact"/>
              <w:ind w:right="420"/>
              <w:jc w:val="left"/>
              <w:rPr>
                <w:rFonts w:ascii="宋体" w:hAnsi="宋体" w:eastAsia="宋体" w:cs="Times New Roman"/>
                <w:snapToGrid w:val="0"/>
                <w:color w:val="000000" w:themeColor="text1"/>
                <w:spacing w:val="4"/>
                <w:kern w:val="0"/>
                <w:sz w:val="24"/>
                <w:szCs w:val="24"/>
                <w14:textFill>
                  <w14:solidFill>
                    <w14:schemeClr w14:val="tx1"/>
                  </w14:solidFill>
                </w14:textFill>
              </w:rPr>
            </w:pPr>
            <w:r>
              <w:rPr>
                <w:rFonts w:hint="eastAsia" w:ascii="宋体" w:hAnsi="宋体" w:eastAsia="宋体" w:cs="宋体"/>
                <w:color w:val="000000" w:themeColor="text1"/>
                <w:sz w:val="24"/>
                <w:szCs w:val="28"/>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1" w:hRule="atLeast"/>
          <w:jc w:val="center"/>
        </w:trPr>
        <w:tc>
          <w:tcPr>
            <w:tcW w:w="1192" w:type="dxa"/>
            <w:vAlign w:val="center"/>
          </w:tcPr>
          <w:p>
            <w:pPr>
              <w:spacing w:line="340" w:lineRule="exact"/>
              <w:jc w:val="center"/>
              <w:rPr>
                <w:rFonts w:ascii="宋体" w:hAnsi="宋体" w:eastAsia="宋体" w:cs="Times New Roman"/>
                <w:snapToGrid w:val="0"/>
                <w:color w:val="000000" w:themeColor="text1"/>
                <w:spacing w:val="4"/>
                <w:kern w:val="0"/>
                <w:sz w:val="24"/>
                <w:szCs w:val="24"/>
                <w14:textFill>
                  <w14:solidFill>
                    <w14:schemeClr w14:val="tx1"/>
                  </w14:solidFill>
                </w14:textFill>
              </w:rPr>
            </w:pPr>
            <w:r>
              <w:rPr>
                <w:rFonts w:hint="eastAsia" w:ascii="宋体" w:hAnsi="宋体" w:eastAsia="宋体" w:cs="Times New Roman"/>
                <w:snapToGrid w:val="0"/>
                <w:color w:val="000000" w:themeColor="text1"/>
                <w:spacing w:val="4"/>
                <w:kern w:val="0"/>
                <w:sz w:val="24"/>
                <w:szCs w:val="24"/>
                <w14:textFill>
                  <w14:solidFill>
                    <w14:schemeClr w14:val="tx1"/>
                  </w14:solidFill>
                </w14:textFill>
              </w:rPr>
              <w:t>近五年承担估价报告技术评审或专业鉴定情况</w:t>
            </w:r>
          </w:p>
        </w:tc>
        <w:tc>
          <w:tcPr>
            <w:tcW w:w="8738" w:type="dxa"/>
            <w:gridSpan w:val="5"/>
          </w:tcPr>
          <w:p>
            <w:pPr>
              <w:spacing w:line="340" w:lineRule="exact"/>
              <w:jc w:val="left"/>
              <w:rPr>
                <w:rFonts w:ascii="宋体" w:hAnsi="宋体" w:eastAsia="宋体" w:cs="Times New Roman"/>
                <w:snapToGrid w:val="0"/>
                <w:color w:val="000000" w:themeColor="text1"/>
                <w:spacing w:val="4"/>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5" w:hRule="atLeast"/>
          <w:jc w:val="center"/>
        </w:trPr>
        <w:tc>
          <w:tcPr>
            <w:tcW w:w="1192" w:type="dxa"/>
            <w:vAlign w:val="center"/>
          </w:tcPr>
          <w:p>
            <w:pPr>
              <w:spacing w:line="340" w:lineRule="exact"/>
              <w:jc w:val="center"/>
              <w:rPr>
                <w:rFonts w:ascii="宋体" w:hAnsi="宋体" w:eastAsia="宋体" w:cs="Times New Roman"/>
                <w:snapToGrid w:val="0"/>
                <w:color w:val="000000" w:themeColor="text1"/>
                <w:kern w:val="0"/>
                <w:sz w:val="24"/>
                <w:szCs w:val="24"/>
                <w14:textFill>
                  <w14:solidFill>
                    <w14:schemeClr w14:val="tx1"/>
                  </w14:solidFill>
                </w14:textFill>
              </w:rPr>
            </w:pPr>
            <w:r>
              <w:rPr>
                <w:rFonts w:hint="eastAsia" w:ascii="宋体" w:hAnsi="宋体" w:eastAsia="宋体" w:cs="Times New Roman"/>
                <w:snapToGrid w:val="0"/>
                <w:color w:val="000000" w:themeColor="text1"/>
                <w:kern w:val="0"/>
                <w:sz w:val="24"/>
                <w:szCs w:val="24"/>
                <w14:textFill>
                  <w14:solidFill>
                    <w14:schemeClr w14:val="tx1"/>
                  </w14:solidFill>
                </w14:textFill>
              </w:rPr>
              <w:t>专业论文发表</w:t>
            </w:r>
          </w:p>
          <w:p>
            <w:pPr>
              <w:spacing w:line="340" w:lineRule="exact"/>
              <w:jc w:val="center"/>
              <w:rPr>
                <w:rFonts w:ascii="宋体" w:hAnsi="宋体" w:eastAsia="宋体" w:cs="Times New Roman"/>
                <w:snapToGrid w:val="0"/>
                <w:color w:val="000000" w:themeColor="text1"/>
                <w:kern w:val="0"/>
                <w:sz w:val="24"/>
                <w:szCs w:val="24"/>
                <w14:textFill>
                  <w14:solidFill>
                    <w14:schemeClr w14:val="tx1"/>
                  </w14:solidFill>
                </w14:textFill>
              </w:rPr>
            </w:pPr>
            <w:r>
              <w:rPr>
                <w:rFonts w:hint="eastAsia" w:ascii="宋体" w:hAnsi="宋体" w:eastAsia="宋体" w:cs="Times New Roman"/>
                <w:snapToGrid w:val="0"/>
                <w:color w:val="000000" w:themeColor="text1"/>
                <w:kern w:val="0"/>
                <w:sz w:val="24"/>
                <w:szCs w:val="24"/>
                <w14:textFill>
                  <w14:solidFill>
                    <w14:schemeClr w14:val="tx1"/>
                  </w14:solidFill>
                </w14:textFill>
              </w:rPr>
              <w:t>（刊物、刊期、第几作者）</w:t>
            </w:r>
          </w:p>
        </w:tc>
        <w:tc>
          <w:tcPr>
            <w:tcW w:w="8738" w:type="dxa"/>
            <w:gridSpan w:val="5"/>
          </w:tcPr>
          <w:p>
            <w:pPr>
              <w:spacing w:line="340" w:lineRule="exact"/>
              <w:jc w:val="left"/>
              <w:rPr>
                <w:rFonts w:ascii="宋体" w:hAnsi="宋体" w:eastAsia="宋体" w:cs="Times New Roman"/>
                <w:snapToGrid w:val="0"/>
                <w:color w:val="000000" w:themeColor="text1"/>
                <w:spacing w:val="4"/>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5" w:hRule="atLeast"/>
          <w:jc w:val="center"/>
        </w:trPr>
        <w:tc>
          <w:tcPr>
            <w:tcW w:w="1192" w:type="dxa"/>
            <w:vAlign w:val="center"/>
          </w:tcPr>
          <w:p>
            <w:pPr>
              <w:spacing w:line="340" w:lineRule="exact"/>
              <w:jc w:val="center"/>
              <w:rPr>
                <w:rFonts w:ascii="宋体" w:hAnsi="宋体" w:eastAsia="宋体" w:cs="Times New Roman"/>
                <w:snapToGrid w:val="0"/>
                <w:color w:val="000000" w:themeColor="text1"/>
                <w:spacing w:val="4"/>
                <w:kern w:val="0"/>
                <w:sz w:val="24"/>
                <w:szCs w:val="24"/>
                <w14:textFill>
                  <w14:solidFill>
                    <w14:schemeClr w14:val="tx1"/>
                  </w14:solidFill>
                </w14:textFill>
              </w:rPr>
            </w:pPr>
            <w:r>
              <w:rPr>
                <w:rFonts w:hint="eastAsia" w:ascii="宋体" w:hAnsi="宋体" w:eastAsia="宋体" w:cs="Times New Roman"/>
                <w:snapToGrid w:val="0"/>
                <w:color w:val="000000" w:themeColor="text1"/>
                <w:spacing w:val="4"/>
                <w:kern w:val="0"/>
                <w:sz w:val="24"/>
                <w:szCs w:val="24"/>
                <w14:textFill>
                  <w14:solidFill>
                    <w14:schemeClr w14:val="tx1"/>
                  </w14:solidFill>
                </w14:textFill>
              </w:rPr>
              <w:t>近五年已完成房地产估价课题</w:t>
            </w:r>
          </w:p>
        </w:tc>
        <w:tc>
          <w:tcPr>
            <w:tcW w:w="8738" w:type="dxa"/>
            <w:gridSpan w:val="5"/>
          </w:tcPr>
          <w:p>
            <w:pPr>
              <w:spacing w:line="340" w:lineRule="exact"/>
              <w:jc w:val="left"/>
              <w:rPr>
                <w:rFonts w:ascii="宋体" w:hAnsi="宋体" w:eastAsia="宋体" w:cs="Times New Roman"/>
                <w:snapToGrid w:val="0"/>
                <w:color w:val="000000" w:themeColor="text1"/>
                <w:spacing w:val="4"/>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1192" w:type="dxa"/>
            <w:vAlign w:val="center"/>
          </w:tcPr>
          <w:p>
            <w:pPr>
              <w:spacing w:line="340" w:lineRule="exact"/>
              <w:jc w:val="center"/>
              <w:rPr>
                <w:rFonts w:ascii="宋体" w:hAnsi="宋体" w:eastAsia="宋体" w:cs="Times New Roman"/>
                <w:snapToGrid w:val="0"/>
                <w:color w:val="000000" w:themeColor="text1"/>
                <w:spacing w:val="4"/>
                <w:kern w:val="0"/>
                <w:sz w:val="24"/>
                <w:szCs w:val="24"/>
                <w14:textFill>
                  <w14:solidFill>
                    <w14:schemeClr w14:val="tx1"/>
                  </w14:solidFill>
                </w14:textFill>
              </w:rPr>
            </w:pPr>
            <w:r>
              <w:rPr>
                <w:rFonts w:hint="eastAsia" w:ascii="宋体" w:hAnsi="宋体" w:eastAsia="宋体" w:cs="Times New Roman"/>
                <w:snapToGrid w:val="0"/>
                <w:color w:val="000000" w:themeColor="text1"/>
                <w:spacing w:val="4"/>
                <w:kern w:val="0"/>
                <w:sz w:val="24"/>
                <w:szCs w:val="24"/>
                <w14:textFill>
                  <w14:solidFill>
                    <w14:schemeClr w14:val="tx1"/>
                  </w14:solidFill>
                </w14:textFill>
              </w:rPr>
              <w:t>取得政府、估价及相关协会的专家</w:t>
            </w:r>
          </w:p>
          <w:p>
            <w:pPr>
              <w:spacing w:line="340" w:lineRule="exact"/>
              <w:jc w:val="center"/>
              <w:rPr>
                <w:rFonts w:ascii="宋体" w:hAnsi="宋体" w:eastAsia="宋体" w:cs="Times New Roman"/>
                <w:snapToGrid w:val="0"/>
                <w:color w:val="000000" w:themeColor="text1"/>
                <w:spacing w:val="4"/>
                <w:kern w:val="0"/>
                <w:sz w:val="24"/>
                <w:szCs w:val="24"/>
                <w14:textFill>
                  <w14:solidFill>
                    <w14:schemeClr w14:val="tx1"/>
                  </w14:solidFill>
                </w14:textFill>
              </w:rPr>
            </w:pPr>
            <w:r>
              <w:rPr>
                <w:rFonts w:hint="eastAsia" w:ascii="宋体" w:hAnsi="宋体" w:eastAsia="宋体" w:cs="Times New Roman"/>
                <w:snapToGrid w:val="0"/>
                <w:color w:val="000000" w:themeColor="text1"/>
                <w:spacing w:val="4"/>
                <w:kern w:val="0"/>
                <w:sz w:val="24"/>
                <w:szCs w:val="24"/>
                <w14:textFill>
                  <w14:solidFill>
                    <w14:schemeClr w14:val="tx1"/>
                  </w14:solidFill>
                </w14:textFill>
              </w:rPr>
              <w:t>资格</w:t>
            </w:r>
          </w:p>
        </w:tc>
        <w:tc>
          <w:tcPr>
            <w:tcW w:w="8738" w:type="dxa"/>
            <w:gridSpan w:val="5"/>
          </w:tcPr>
          <w:p>
            <w:pPr>
              <w:spacing w:line="340" w:lineRule="exact"/>
              <w:ind w:firstLine="496" w:firstLineChars="200"/>
              <w:rPr>
                <w:rFonts w:ascii="宋体" w:hAnsi="宋体" w:eastAsia="宋体" w:cs="Times New Roman"/>
                <w:snapToGrid w:val="0"/>
                <w:color w:val="000000" w:themeColor="text1"/>
                <w:spacing w:val="4"/>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5" w:hRule="atLeast"/>
          <w:jc w:val="center"/>
        </w:trPr>
        <w:tc>
          <w:tcPr>
            <w:tcW w:w="1192" w:type="dxa"/>
            <w:vAlign w:val="center"/>
          </w:tcPr>
          <w:p>
            <w:pPr>
              <w:spacing w:line="340" w:lineRule="exact"/>
              <w:jc w:val="center"/>
              <w:rPr>
                <w:rFonts w:ascii="宋体" w:hAnsi="宋体" w:eastAsia="宋体" w:cs="Times New Roman"/>
                <w:snapToGrid w:val="0"/>
                <w:color w:val="000000" w:themeColor="text1"/>
                <w:spacing w:val="4"/>
                <w:kern w:val="0"/>
                <w:sz w:val="24"/>
                <w:szCs w:val="24"/>
                <w14:textFill>
                  <w14:solidFill>
                    <w14:schemeClr w14:val="tx1"/>
                  </w14:solidFill>
                </w14:textFill>
              </w:rPr>
            </w:pPr>
            <w:r>
              <w:rPr>
                <w:rFonts w:hint="eastAsia" w:ascii="宋体" w:hAnsi="宋体" w:eastAsia="宋体" w:cs="Times New Roman"/>
                <w:snapToGrid w:val="0"/>
                <w:color w:val="000000" w:themeColor="text1"/>
                <w:spacing w:val="4"/>
                <w:kern w:val="0"/>
                <w:sz w:val="24"/>
                <w:szCs w:val="24"/>
                <w14:textFill>
                  <w14:solidFill>
                    <w14:schemeClr w14:val="tx1"/>
                  </w14:solidFill>
                </w14:textFill>
              </w:rPr>
              <w:t>申</w:t>
            </w:r>
          </w:p>
          <w:p>
            <w:pPr>
              <w:spacing w:line="340" w:lineRule="exact"/>
              <w:jc w:val="center"/>
              <w:rPr>
                <w:rFonts w:ascii="宋体" w:hAnsi="宋体" w:eastAsia="宋体" w:cs="Times New Roman"/>
                <w:snapToGrid w:val="0"/>
                <w:color w:val="000000" w:themeColor="text1"/>
                <w:spacing w:val="4"/>
                <w:kern w:val="0"/>
                <w:sz w:val="24"/>
                <w:szCs w:val="24"/>
                <w14:textFill>
                  <w14:solidFill>
                    <w14:schemeClr w14:val="tx1"/>
                  </w14:solidFill>
                </w14:textFill>
              </w:rPr>
            </w:pPr>
            <w:r>
              <w:rPr>
                <w:rFonts w:hint="eastAsia" w:ascii="宋体" w:hAnsi="宋体" w:eastAsia="宋体" w:cs="Times New Roman"/>
                <w:snapToGrid w:val="0"/>
                <w:color w:val="000000" w:themeColor="text1"/>
                <w:spacing w:val="4"/>
                <w:kern w:val="0"/>
                <w:sz w:val="24"/>
                <w:szCs w:val="24"/>
                <w14:textFill>
                  <w14:solidFill>
                    <w14:schemeClr w14:val="tx1"/>
                  </w14:solidFill>
                </w14:textFill>
              </w:rPr>
              <w:t>请</w:t>
            </w:r>
          </w:p>
          <w:p>
            <w:pPr>
              <w:spacing w:line="340" w:lineRule="exact"/>
              <w:jc w:val="center"/>
              <w:rPr>
                <w:rFonts w:ascii="宋体" w:hAnsi="宋体" w:eastAsia="宋体" w:cs="Times New Roman"/>
                <w:snapToGrid w:val="0"/>
                <w:color w:val="000000" w:themeColor="text1"/>
                <w:spacing w:val="4"/>
                <w:kern w:val="0"/>
                <w:sz w:val="24"/>
                <w:szCs w:val="24"/>
                <w14:textFill>
                  <w14:solidFill>
                    <w14:schemeClr w14:val="tx1"/>
                  </w14:solidFill>
                </w14:textFill>
              </w:rPr>
            </w:pPr>
            <w:r>
              <w:rPr>
                <w:rFonts w:hint="eastAsia" w:ascii="宋体" w:hAnsi="宋体" w:eastAsia="宋体" w:cs="Times New Roman"/>
                <w:snapToGrid w:val="0"/>
                <w:color w:val="000000" w:themeColor="text1"/>
                <w:spacing w:val="4"/>
                <w:kern w:val="0"/>
                <w:sz w:val="24"/>
                <w:szCs w:val="24"/>
                <w14:textFill>
                  <w14:solidFill>
                    <w14:schemeClr w14:val="tx1"/>
                  </w14:solidFill>
                </w14:textFill>
              </w:rPr>
              <w:t>人</w:t>
            </w:r>
          </w:p>
          <w:p>
            <w:pPr>
              <w:spacing w:line="340" w:lineRule="exact"/>
              <w:jc w:val="center"/>
              <w:rPr>
                <w:rFonts w:ascii="宋体" w:hAnsi="宋体" w:eastAsia="宋体" w:cs="Times New Roman"/>
                <w:snapToGrid w:val="0"/>
                <w:color w:val="000000" w:themeColor="text1"/>
                <w:spacing w:val="4"/>
                <w:kern w:val="0"/>
                <w:sz w:val="24"/>
                <w:szCs w:val="24"/>
                <w14:textFill>
                  <w14:solidFill>
                    <w14:schemeClr w14:val="tx1"/>
                  </w14:solidFill>
                </w14:textFill>
              </w:rPr>
            </w:pPr>
            <w:r>
              <w:rPr>
                <w:rFonts w:hint="eastAsia" w:ascii="宋体" w:hAnsi="宋体" w:eastAsia="宋体" w:cs="Times New Roman"/>
                <w:snapToGrid w:val="0"/>
                <w:color w:val="000000" w:themeColor="text1"/>
                <w:spacing w:val="4"/>
                <w:kern w:val="0"/>
                <w:sz w:val="24"/>
                <w:szCs w:val="24"/>
                <w14:textFill>
                  <w14:solidFill>
                    <w14:schemeClr w14:val="tx1"/>
                  </w14:solidFill>
                </w14:textFill>
              </w:rPr>
              <w:t>声</w:t>
            </w:r>
          </w:p>
          <w:p>
            <w:pPr>
              <w:spacing w:line="340" w:lineRule="exact"/>
              <w:jc w:val="center"/>
              <w:rPr>
                <w:rFonts w:ascii="宋体" w:hAnsi="宋体" w:eastAsia="宋体" w:cs="Times New Roman"/>
                <w:snapToGrid w:val="0"/>
                <w:color w:val="000000" w:themeColor="text1"/>
                <w:spacing w:val="4"/>
                <w:kern w:val="0"/>
                <w:sz w:val="24"/>
                <w:szCs w:val="24"/>
                <w14:textFill>
                  <w14:solidFill>
                    <w14:schemeClr w14:val="tx1"/>
                  </w14:solidFill>
                </w14:textFill>
              </w:rPr>
            </w:pPr>
            <w:r>
              <w:rPr>
                <w:rFonts w:hint="eastAsia" w:ascii="宋体" w:hAnsi="宋体" w:eastAsia="宋体" w:cs="Times New Roman"/>
                <w:snapToGrid w:val="0"/>
                <w:color w:val="000000" w:themeColor="text1"/>
                <w:spacing w:val="4"/>
                <w:kern w:val="0"/>
                <w:sz w:val="24"/>
                <w:szCs w:val="24"/>
                <w14:textFill>
                  <w14:solidFill>
                    <w14:schemeClr w14:val="tx1"/>
                  </w14:solidFill>
                </w14:textFill>
              </w:rPr>
              <w:t>明</w:t>
            </w:r>
          </w:p>
        </w:tc>
        <w:tc>
          <w:tcPr>
            <w:tcW w:w="8738" w:type="dxa"/>
            <w:gridSpan w:val="5"/>
            <w:vAlign w:val="bottom"/>
          </w:tcPr>
          <w:p>
            <w:pPr>
              <w:spacing w:before="156" w:beforeLines="50" w:line="340" w:lineRule="exact"/>
              <w:ind w:firstLine="496" w:firstLineChars="200"/>
              <w:rPr>
                <w:rFonts w:ascii="宋体" w:hAnsi="宋体" w:eastAsia="宋体" w:cs="Times New Roman"/>
                <w:snapToGrid w:val="0"/>
                <w:color w:val="000000" w:themeColor="text1"/>
                <w:spacing w:val="4"/>
                <w:kern w:val="0"/>
                <w:sz w:val="24"/>
                <w:szCs w:val="24"/>
                <w14:textFill>
                  <w14:solidFill>
                    <w14:schemeClr w14:val="tx1"/>
                  </w14:solidFill>
                </w14:textFill>
              </w:rPr>
            </w:pPr>
            <w:r>
              <w:rPr>
                <w:rFonts w:hint="eastAsia" w:ascii="宋体" w:hAnsi="宋体" w:eastAsia="宋体" w:cs="Times New Roman"/>
                <w:snapToGrid w:val="0"/>
                <w:color w:val="000000" w:themeColor="text1"/>
                <w:spacing w:val="4"/>
                <w:kern w:val="0"/>
                <w:sz w:val="24"/>
                <w:szCs w:val="24"/>
                <w14:textFill>
                  <w14:solidFill>
                    <w14:schemeClr w14:val="tx1"/>
                  </w14:solidFill>
                </w14:textFill>
              </w:rPr>
              <w:t>本人保证本申请表所填报的内容和所有资料不存在任何虚假记载，并对其真实性、准确性和完整性承担责任。</w:t>
            </w:r>
          </w:p>
          <w:p>
            <w:pPr>
              <w:spacing w:line="340" w:lineRule="exact"/>
              <w:ind w:firstLine="496" w:firstLineChars="200"/>
              <w:rPr>
                <w:rFonts w:ascii="宋体" w:hAnsi="宋体" w:eastAsia="宋体" w:cs="Times New Roman"/>
                <w:snapToGrid w:val="0"/>
                <w:color w:val="000000" w:themeColor="text1"/>
                <w:spacing w:val="4"/>
                <w:kern w:val="0"/>
                <w:sz w:val="24"/>
                <w:szCs w:val="24"/>
                <w14:textFill>
                  <w14:solidFill>
                    <w14:schemeClr w14:val="tx1"/>
                  </w14:solidFill>
                </w14:textFill>
              </w:rPr>
            </w:pPr>
          </w:p>
          <w:p>
            <w:pPr>
              <w:spacing w:line="340" w:lineRule="exact"/>
              <w:ind w:firstLine="4960" w:firstLineChars="2000"/>
              <w:rPr>
                <w:rFonts w:ascii="宋体" w:hAnsi="宋体" w:eastAsia="宋体" w:cs="Times New Roman"/>
                <w:snapToGrid w:val="0"/>
                <w:color w:val="000000" w:themeColor="text1"/>
                <w:spacing w:val="4"/>
                <w:kern w:val="0"/>
                <w:sz w:val="24"/>
                <w:szCs w:val="24"/>
                <w14:textFill>
                  <w14:solidFill>
                    <w14:schemeClr w14:val="tx1"/>
                  </w14:solidFill>
                </w14:textFill>
              </w:rPr>
            </w:pPr>
            <w:r>
              <w:rPr>
                <w:rFonts w:hint="eastAsia" w:ascii="宋体" w:hAnsi="宋体" w:eastAsia="宋体" w:cs="Times New Roman"/>
                <w:snapToGrid w:val="0"/>
                <w:color w:val="000000" w:themeColor="text1"/>
                <w:spacing w:val="4"/>
                <w:kern w:val="0"/>
                <w:sz w:val="24"/>
                <w:szCs w:val="24"/>
                <w14:textFill>
                  <w14:solidFill>
                    <w14:schemeClr w14:val="tx1"/>
                  </w14:solidFill>
                </w14:textFill>
              </w:rPr>
              <w:t>申请人签字：</w:t>
            </w:r>
          </w:p>
          <w:p>
            <w:pPr>
              <w:spacing w:line="340" w:lineRule="exact"/>
              <w:rPr>
                <w:rFonts w:ascii="宋体" w:hAnsi="宋体" w:eastAsia="宋体" w:cs="Times New Roman"/>
                <w:snapToGrid w:val="0"/>
                <w:color w:val="000000" w:themeColor="text1"/>
                <w:spacing w:val="4"/>
                <w:kern w:val="0"/>
                <w:sz w:val="24"/>
                <w:szCs w:val="24"/>
                <w14:textFill>
                  <w14:solidFill>
                    <w14:schemeClr w14:val="tx1"/>
                  </w14:solidFill>
                </w14:textFill>
              </w:rPr>
            </w:pPr>
            <w:r>
              <w:rPr>
                <w:rFonts w:hint="eastAsia" w:ascii="宋体" w:hAnsi="宋体" w:eastAsia="宋体" w:cs="Times New Roman"/>
                <w:snapToGrid w:val="0"/>
                <w:color w:val="000000" w:themeColor="text1"/>
                <w:spacing w:val="4"/>
                <w:kern w:val="0"/>
                <w:sz w:val="24"/>
                <w:szCs w:val="24"/>
                <w14:textFill>
                  <w14:solidFill>
                    <w14:schemeClr w14:val="tx1"/>
                  </w14:solidFill>
                </w14:textFill>
              </w:rPr>
              <w:t xml:space="preserve">                                              年    月    日</w:t>
            </w:r>
          </w:p>
          <w:p>
            <w:pPr>
              <w:spacing w:line="340" w:lineRule="exact"/>
              <w:ind w:right="315"/>
              <w:jc w:val="right"/>
              <w:rPr>
                <w:rFonts w:ascii="宋体" w:hAnsi="宋体" w:eastAsia="宋体" w:cs="Times New Roman"/>
                <w:snapToGrid w:val="0"/>
                <w:color w:val="000000" w:themeColor="text1"/>
                <w:spacing w:val="4"/>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92" w:type="dxa"/>
            <w:vAlign w:val="center"/>
          </w:tcPr>
          <w:p>
            <w:pPr>
              <w:spacing w:line="340" w:lineRule="exact"/>
              <w:jc w:val="center"/>
              <w:rPr>
                <w:rFonts w:ascii="宋体" w:hAnsi="宋体" w:eastAsia="宋体" w:cs="Times New Roman"/>
                <w:snapToGrid w:val="0"/>
                <w:color w:val="000000" w:themeColor="text1"/>
                <w:spacing w:val="4"/>
                <w:kern w:val="0"/>
                <w:sz w:val="24"/>
                <w:szCs w:val="24"/>
                <w14:textFill>
                  <w14:solidFill>
                    <w14:schemeClr w14:val="tx1"/>
                  </w14:solidFill>
                </w14:textFill>
              </w:rPr>
            </w:pPr>
            <w:r>
              <w:rPr>
                <w:rFonts w:hint="eastAsia" w:ascii="宋体" w:hAnsi="宋体" w:eastAsia="宋体" w:cs="Times New Roman"/>
                <w:snapToGrid w:val="0"/>
                <w:color w:val="000000" w:themeColor="text1"/>
                <w:spacing w:val="4"/>
                <w:kern w:val="0"/>
                <w:sz w:val="24"/>
                <w:szCs w:val="24"/>
                <w14:textFill>
                  <w14:solidFill>
                    <w14:schemeClr w14:val="tx1"/>
                  </w14:solidFill>
                </w14:textFill>
              </w:rPr>
              <w:t>所在</w:t>
            </w:r>
          </w:p>
          <w:p>
            <w:pPr>
              <w:spacing w:line="340" w:lineRule="exact"/>
              <w:jc w:val="center"/>
              <w:rPr>
                <w:rFonts w:ascii="宋体" w:hAnsi="宋体" w:eastAsia="宋体" w:cs="Times New Roman"/>
                <w:snapToGrid w:val="0"/>
                <w:color w:val="000000" w:themeColor="text1"/>
                <w:spacing w:val="4"/>
                <w:kern w:val="0"/>
                <w:sz w:val="24"/>
                <w:szCs w:val="24"/>
                <w14:textFill>
                  <w14:solidFill>
                    <w14:schemeClr w14:val="tx1"/>
                  </w14:solidFill>
                </w14:textFill>
              </w:rPr>
            </w:pPr>
            <w:r>
              <w:rPr>
                <w:rFonts w:hint="eastAsia" w:ascii="宋体" w:hAnsi="宋体" w:eastAsia="宋体" w:cs="Times New Roman"/>
                <w:snapToGrid w:val="0"/>
                <w:color w:val="000000" w:themeColor="text1"/>
                <w:spacing w:val="4"/>
                <w:kern w:val="0"/>
                <w:sz w:val="24"/>
                <w:szCs w:val="24"/>
                <w14:textFill>
                  <w14:solidFill>
                    <w14:schemeClr w14:val="tx1"/>
                  </w14:solidFill>
                </w14:textFill>
              </w:rPr>
              <w:t>估价</w:t>
            </w:r>
          </w:p>
          <w:p>
            <w:pPr>
              <w:spacing w:line="340" w:lineRule="exact"/>
              <w:jc w:val="center"/>
              <w:rPr>
                <w:rFonts w:ascii="宋体" w:hAnsi="宋体" w:eastAsia="宋体" w:cs="Times New Roman"/>
                <w:snapToGrid w:val="0"/>
                <w:color w:val="000000" w:themeColor="text1"/>
                <w:spacing w:val="4"/>
                <w:kern w:val="0"/>
                <w:sz w:val="24"/>
                <w:szCs w:val="24"/>
                <w14:textFill>
                  <w14:solidFill>
                    <w14:schemeClr w14:val="tx1"/>
                  </w14:solidFill>
                </w14:textFill>
              </w:rPr>
            </w:pPr>
            <w:r>
              <w:rPr>
                <w:rFonts w:hint="eastAsia" w:ascii="宋体" w:hAnsi="宋体" w:eastAsia="宋体" w:cs="Times New Roman"/>
                <w:snapToGrid w:val="0"/>
                <w:color w:val="000000" w:themeColor="text1"/>
                <w:spacing w:val="4"/>
                <w:kern w:val="0"/>
                <w:sz w:val="24"/>
                <w:szCs w:val="24"/>
                <w14:textFill>
                  <w14:solidFill>
                    <w14:schemeClr w14:val="tx1"/>
                  </w14:solidFill>
                </w14:textFill>
              </w:rPr>
              <w:t>机构/协会推荐</w:t>
            </w:r>
          </w:p>
          <w:p>
            <w:pPr>
              <w:spacing w:line="340" w:lineRule="exact"/>
              <w:jc w:val="center"/>
              <w:rPr>
                <w:rFonts w:ascii="宋体" w:hAnsi="宋体" w:eastAsia="宋体" w:cs="Times New Roman"/>
                <w:snapToGrid w:val="0"/>
                <w:color w:val="000000" w:themeColor="text1"/>
                <w:spacing w:val="4"/>
                <w:kern w:val="0"/>
                <w:sz w:val="24"/>
                <w:szCs w:val="24"/>
                <w14:textFill>
                  <w14:solidFill>
                    <w14:schemeClr w14:val="tx1"/>
                  </w14:solidFill>
                </w14:textFill>
              </w:rPr>
            </w:pPr>
            <w:r>
              <w:rPr>
                <w:rFonts w:hint="eastAsia" w:ascii="宋体" w:hAnsi="宋体" w:eastAsia="宋体" w:cs="Times New Roman"/>
                <w:snapToGrid w:val="0"/>
                <w:color w:val="000000" w:themeColor="text1"/>
                <w:spacing w:val="4"/>
                <w:kern w:val="0"/>
                <w:sz w:val="24"/>
                <w:szCs w:val="24"/>
                <w14:textFill>
                  <w14:solidFill>
                    <w14:schemeClr w14:val="tx1"/>
                  </w14:solidFill>
                </w14:textFill>
              </w:rPr>
              <w:t>意见</w:t>
            </w:r>
          </w:p>
        </w:tc>
        <w:tc>
          <w:tcPr>
            <w:tcW w:w="8738" w:type="dxa"/>
            <w:gridSpan w:val="5"/>
            <w:vAlign w:val="bottom"/>
          </w:tcPr>
          <w:p>
            <w:pPr>
              <w:spacing w:before="156" w:beforeLines="50" w:line="340" w:lineRule="exact"/>
              <w:ind w:firstLine="496" w:firstLineChars="200"/>
              <w:rPr>
                <w:rFonts w:ascii="宋体" w:hAnsi="宋体" w:eastAsia="宋体" w:cs="Times New Roman"/>
                <w:snapToGrid w:val="0"/>
                <w:color w:val="000000" w:themeColor="text1"/>
                <w:spacing w:val="4"/>
                <w:kern w:val="0"/>
                <w:sz w:val="24"/>
                <w:szCs w:val="24"/>
                <w14:textFill>
                  <w14:solidFill>
                    <w14:schemeClr w14:val="tx1"/>
                  </w14:solidFill>
                </w14:textFill>
              </w:rPr>
            </w:pPr>
            <w:r>
              <w:rPr>
                <w:rFonts w:hint="eastAsia" w:ascii="宋体" w:hAnsi="宋体" w:eastAsia="宋体" w:cs="Times New Roman"/>
                <w:snapToGrid w:val="0"/>
                <w:color w:val="000000" w:themeColor="text1"/>
                <w:spacing w:val="4"/>
                <w:kern w:val="0"/>
                <w:sz w:val="24"/>
                <w:szCs w:val="24"/>
                <w14:textFill>
                  <w14:solidFill>
                    <w14:schemeClr w14:val="tx1"/>
                  </w14:solidFill>
                </w14:textFill>
              </w:rPr>
              <w:t>经审核该同志申报资料不存在任何虚假记载，本公司对其真实性、准确性和完整性承担责任。</w:t>
            </w:r>
          </w:p>
          <w:p>
            <w:pPr>
              <w:spacing w:line="340" w:lineRule="exact"/>
              <w:ind w:right="315"/>
              <w:rPr>
                <w:rFonts w:ascii="宋体" w:hAnsi="宋体" w:eastAsia="宋体" w:cs="Times New Roman"/>
                <w:snapToGrid w:val="0"/>
                <w:color w:val="000000" w:themeColor="text1"/>
                <w:spacing w:val="4"/>
                <w:kern w:val="0"/>
                <w:sz w:val="24"/>
                <w:szCs w:val="24"/>
                <w14:textFill>
                  <w14:solidFill>
                    <w14:schemeClr w14:val="tx1"/>
                  </w14:solidFill>
                </w14:textFill>
              </w:rPr>
            </w:pPr>
          </w:p>
          <w:p>
            <w:pPr>
              <w:spacing w:line="340" w:lineRule="exact"/>
              <w:rPr>
                <w:rFonts w:ascii="宋体" w:hAnsi="宋体" w:eastAsia="宋体" w:cs="Times New Roman"/>
                <w:snapToGrid w:val="0"/>
                <w:color w:val="000000" w:themeColor="text1"/>
                <w:spacing w:val="4"/>
                <w:kern w:val="0"/>
                <w:sz w:val="24"/>
                <w:szCs w:val="24"/>
                <w14:textFill>
                  <w14:solidFill>
                    <w14:schemeClr w14:val="tx1"/>
                  </w14:solidFill>
                </w14:textFill>
              </w:rPr>
            </w:pPr>
            <w:r>
              <w:rPr>
                <w:rFonts w:hint="eastAsia" w:ascii="宋体" w:hAnsi="宋体" w:eastAsia="宋体" w:cs="Times New Roman"/>
                <w:snapToGrid w:val="0"/>
                <w:color w:val="000000" w:themeColor="text1"/>
                <w:spacing w:val="4"/>
                <w:kern w:val="0"/>
                <w:sz w:val="24"/>
                <w:szCs w:val="24"/>
                <w14:textFill>
                  <w14:solidFill>
                    <w14:schemeClr w14:val="tx1"/>
                  </w14:solidFill>
                </w14:textFill>
              </w:rPr>
              <w:t>法定代表人签字                            公章</w:t>
            </w:r>
          </w:p>
          <w:p>
            <w:pPr>
              <w:spacing w:line="340" w:lineRule="exact"/>
              <w:ind w:right="315"/>
              <w:jc w:val="right"/>
              <w:rPr>
                <w:rFonts w:ascii="宋体" w:hAnsi="宋体" w:eastAsia="宋体" w:cs="Times New Roman"/>
                <w:snapToGrid w:val="0"/>
                <w:color w:val="000000" w:themeColor="text1"/>
                <w:spacing w:val="4"/>
                <w:kern w:val="0"/>
                <w:sz w:val="24"/>
                <w:szCs w:val="24"/>
                <w14:textFill>
                  <w14:solidFill>
                    <w14:schemeClr w14:val="tx1"/>
                  </w14:solidFill>
                </w14:textFill>
              </w:rPr>
            </w:pPr>
            <w:r>
              <w:rPr>
                <w:rFonts w:hint="eastAsia" w:ascii="宋体" w:hAnsi="宋体" w:eastAsia="宋体" w:cs="Times New Roman"/>
                <w:snapToGrid w:val="0"/>
                <w:color w:val="000000" w:themeColor="text1"/>
                <w:spacing w:val="4"/>
                <w:kern w:val="0"/>
                <w:sz w:val="24"/>
                <w:szCs w:val="24"/>
                <w14:textFill>
                  <w14:solidFill>
                    <w14:schemeClr w14:val="tx1"/>
                  </w14:solidFill>
                </w14:textFill>
              </w:rPr>
              <w:t xml:space="preserve">年    月    日                                </w:t>
            </w:r>
          </w:p>
          <w:p>
            <w:pPr>
              <w:spacing w:line="340" w:lineRule="exact"/>
              <w:ind w:right="315"/>
              <w:jc w:val="right"/>
              <w:rPr>
                <w:rFonts w:ascii="宋体" w:hAnsi="宋体" w:eastAsia="宋体" w:cs="Times New Roman"/>
                <w:snapToGrid w:val="0"/>
                <w:color w:val="000000" w:themeColor="text1"/>
                <w:spacing w:val="4"/>
                <w:kern w:val="0"/>
                <w:sz w:val="24"/>
                <w:szCs w:val="24"/>
                <w14:textFill>
                  <w14:solidFill>
                    <w14:schemeClr w14:val="tx1"/>
                  </w14:solidFill>
                </w14:textFill>
              </w:rPr>
            </w:pPr>
            <w:r>
              <w:rPr>
                <w:rFonts w:hint="eastAsia" w:ascii="宋体" w:hAnsi="宋体" w:eastAsia="宋体" w:cs="Times New Roman"/>
                <w:snapToGrid w:val="0"/>
                <w:color w:val="000000" w:themeColor="text1"/>
                <w:spacing w:val="4"/>
                <w:kern w:val="0"/>
                <w:sz w:val="24"/>
                <w:szCs w:val="24"/>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6" w:hRule="atLeast"/>
          <w:jc w:val="center"/>
        </w:trPr>
        <w:tc>
          <w:tcPr>
            <w:tcW w:w="1192" w:type="dxa"/>
            <w:vAlign w:val="center"/>
          </w:tcPr>
          <w:p>
            <w:pPr>
              <w:spacing w:line="340" w:lineRule="exact"/>
              <w:ind w:firstLine="248" w:firstLineChars="100"/>
              <w:rPr>
                <w:rFonts w:ascii="宋体" w:hAnsi="宋体" w:eastAsia="宋体" w:cs="Times New Roman"/>
                <w:snapToGrid w:val="0"/>
                <w:color w:val="000000" w:themeColor="text1"/>
                <w:spacing w:val="4"/>
                <w:kern w:val="0"/>
                <w:sz w:val="24"/>
                <w:szCs w:val="24"/>
                <w14:textFill>
                  <w14:solidFill>
                    <w14:schemeClr w14:val="tx1"/>
                  </w14:solidFill>
                </w14:textFill>
              </w:rPr>
            </w:pPr>
            <w:r>
              <w:rPr>
                <w:rFonts w:hint="eastAsia" w:ascii="宋体" w:hAnsi="宋体" w:eastAsia="宋体" w:cs="Times New Roman"/>
                <w:snapToGrid w:val="0"/>
                <w:color w:val="000000" w:themeColor="text1"/>
                <w:spacing w:val="4"/>
                <w:kern w:val="0"/>
                <w:sz w:val="24"/>
                <w:szCs w:val="24"/>
                <w14:textFill>
                  <w14:solidFill>
                    <w14:schemeClr w14:val="tx1"/>
                  </w14:solidFill>
                </w14:textFill>
              </w:rPr>
              <w:t>协会</w:t>
            </w:r>
          </w:p>
          <w:p>
            <w:pPr>
              <w:spacing w:line="340" w:lineRule="exact"/>
              <w:jc w:val="center"/>
              <w:rPr>
                <w:rFonts w:ascii="宋体" w:hAnsi="宋体" w:eastAsia="宋体" w:cs="Times New Roman"/>
                <w:snapToGrid w:val="0"/>
                <w:color w:val="000000" w:themeColor="text1"/>
                <w:spacing w:val="4"/>
                <w:kern w:val="0"/>
                <w:sz w:val="24"/>
                <w:szCs w:val="24"/>
                <w14:textFill>
                  <w14:solidFill>
                    <w14:schemeClr w14:val="tx1"/>
                  </w14:solidFill>
                </w14:textFill>
              </w:rPr>
            </w:pPr>
            <w:r>
              <w:rPr>
                <w:rFonts w:hint="eastAsia" w:ascii="宋体" w:hAnsi="宋体" w:eastAsia="宋体" w:cs="Times New Roman"/>
                <w:snapToGrid w:val="0"/>
                <w:color w:val="000000" w:themeColor="text1"/>
                <w:spacing w:val="4"/>
                <w:kern w:val="0"/>
                <w:sz w:val="24"/>
                <w:szCs w:val="24"/>
                <w14:textFill>
                  <w14:solidFill>
                    <w14:schemeClr w14:val="tx1"/>
                  </w14:solidFill>
                </w14:textFill>
              </w:rPr>
              <w:t>审批</w:t>
            </w:r>
          </w:p>
          <w:p>
            <w:pPr>
              <w:spacing w:line="340" w:lineRule="exact"/>
              <w:jc w:val="center"/>
              <w:rPr>
                <w:rFonts w:ascii="宋体" w:hAnsi="宋体" w:eastAsia="宋体" w:cs="Times New Roman"/>
                <w:snapToGrid w:val="0"/>
                <w:color w:val="000000" w:themeColor="text1"/>
                <w:spacing w:val="4"/>
                <w:kern w:val="0"/>
                <w:sz w:val="24"/>
                <w:szCs w:val="24"/>
                <w14:textFill>
                  <w14:solidFill>
                    <w14:schemeClr w14:val="tx1"/>
                  </w14:solidFill>
                </w14:textFill>
              </w:rPr>
            </w:pPr>
            <w:r>
              <w:rPr>
                <w:rFonts w:hint="eastAsia" w:ascii="宋体" w:hAnsi="宋体" w:eastAsia="宋体" w:cs="Times New Roman"/>
                <w:snapToGrid w:val="0"/>
                <w:color w:val="000000" w:themeColor="text1"/>
                <w:spacing w:val="4"/>
                <w:kern w:val="0"/>
                <w:sz w:val="24"/>
                <w:szCs w:val="24"/>
                <w14:textFill>
                  <w14:solidFill>
                    <w14:schemeClr w14:val="tx1"/>
                  </w14:solidFill>
                </w14:textFill>
              </w:rPr>
              <w:t>意见</w:t>
            </w:r>
          </w:p>
        </w:tc>
        <w:tc>
          <w:tcPr>
            <w:tcW w:w="8738" w:type="dxa"/>
            <w:gridSpan w:val="5"/>
            <w:vAlign w:val="bottom"/>
          </w:tcPr>
          <w:p>
            <w:pPr>
              <w:spacing w:line="340" w:lineRule="exact"/>
              <w:rPr>
                <w:rFonts w:ascii="宋体" w:hAnsi="宋体" w:eastAsia="宋体" w:cs="Times New Roman"/>
                <w:snapToGrid w:val="0"/>
                <w:color w:val="000000" w:themeColor="text1"/>
                <w:spacing w:val="4"/>
                <w:kern w:val="0"/>
                <w:sz w:val="24"/>
                <w:szCs w:val="24"/>
                <w14:textFill>
                  <w14:solidFill>
                    <w14:schemeClr w14:val="tx1"/>
                  </w14:solidFill>
                </w14:textFill>
              </w:rPr>
            </w:pPr>
            <w:r>
              <w:rPr>
                <w:rFonts w:hint="eastAsia" w:ascii="宋体" w:hAnsi="宋体" w:eastAsia="宋体" w:cs="Times New Roman"/>
                <w:snapToGrid w:val="0"/>
                <w:color w:val="000000" w:themeColor="text1"/>
                <w:spacing w:val="4"/>
                <w:kern w:val="0"/>
                <w:sz w:val="24"/>
                <w:szCs w:val="24"/>
                <w14:textFill>
                  <w14:solidFill>
                    <w14:schemeClr w14:val="tx1"/>
                  </w14:solidFill>
                </w14:textFill>
              </w:rPr>
              <w:t>签发人：                           盖章：</w:t>
            </w:r>
          </w:p>
          <w:p>
            <w:pPr>
              <w:spacing w:line="340" w:lineRule="exact"/>
              <w:ind w:right="315"/>
              <w:jc w:val="right"/>
              <w:rPr>
                <w:rFonts w:ascii="宋体" w:hAnsi="宋体" w:eastAsia="宋体" w:cs="Times New Roman"/>
                <w:snapToGrid w:val="0"/>
                <w:color w:val="000000" w:themeColor="text1"/>
                <w:spacing w:val="4"/>
                <w:kern w:val="0"/>
                <w:sz w:val="24"/>
                <w:szCs w:val="24"/>
                <w14:textFill>
                  <w14:solidFill>
                    <w14:schemeClr w14:val="tx1"/>
                  </w14:solidFill>
                </w14:textFill>
              </w:rPr>
            </w:pPr>
            <w:r>
              <w:rPr>
                <w:rFonts w:hint="eastAsia" w:ascii="宋体" w:hAnsi="宋体" w:eastAsia="宋体" w:cs="Times New Roman"/>
                <w:snapToGrid w:val="0"/>
                <w:color w:val="000000" w:themeColor="text1"/>
                <w:spacing w:val="4"/>
                <w:kern w:val="0"/>
                <w:sz w:val="24"/>
                <w:szCs w:val="24"/>
                <w14:textFill>
                  <w14:solidFill>
                    <w14:schemeClr w14:val="tx1"/>
                  </w14:solidFill>
                </w14:textFill>
              </w:rPr>
              <w:t>年    月    日</w:t>
            </w:r>
          </w:p>
          <w:p>
            <w:pPr>
              <w:spacing w:line="340" w:lineRule="exact"/>
              <w:ind w:right="315"/>
              <w:jc w:val="right"/>
              <w:rPr>
                <w:rFonts w:ascii="宋体" w:hAnsi="宋体" w:eastAsia="宋体" w:cs="Times New Roman"/>
                <w:snapToGrid w:val="0"/>
                <w:color w:val="000000" w:themeColor="text1"/>
                <w:spacing w:val="4"/>
                <w:kern w:val="0"/>
                <w:sz w:val="24"/>
                <w:szCs w:val="24"/>
                <w14:textFill>
                  <w14:solidFill>
                    <w14:schemeClr w14:val="tx1"/>
                  </w14:solidFill>
                </w14:textFill>
              </w:rPr>
            </w:pPr>
          </w:p>
        </w:tc>
      </w:tr>
    </w:tbl>
    <w:p>
      <w:pP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br w:type="page"/>
      </w:r>
    </w:p>
    <w:p>
      <w:pPr>
        <w:ind w:firstLine="840" w:firstLineChars="300"/>
        <w:rPr>
          <w:color w:val="000000" w:themeColor="text1"/>
          <w:sz w:val="28"/>
          <w:szCs w:val="28"/>
          <w14:textFill>
            <w14:solidFill>
              <w14:schemeClr w14:val="tx1"/>
            </w14:solidFill>
          </w14:textFill>
        </w:rPr>
        <w:sectPr>
          <w:footerReference r:id="rId3" w:type="default"/>
          <w:pgSz w:w="11906" w:h="16838"/>
          <w:pgMar w:top="1440" w:right="1800" w:bottom="1440" w:left="1800" w:header="851" w:footer="992" w:gutter="0"/>
          <w:cols w:space="425" w:num="1"/>
          <w:docGrid w:type="lines" w:linePitch="312" w:charSpace="0"/>
        </w:sectPr>
      </w:pPr>
    </w:p>
    <w:p>
      <w:pPr>
        <w:spacing w:after="156" w:afterLines="50" w:line="52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附件二 </w:t>
      </w:r>
      <w:r>
        <w:rPr>
          <w:rFonts w:hint="eastAsia" w:ascii="黑体" w:hAnsi="黑体" w:eastAsia="黑体" w:cs="黑体"/>
          <w:b/>
          <w:snapToGrid w:val="0"/>
          <w:color w:val="000000" w:themeColor="text1"/>
          <w:spacing w:val="4"/>
          <w:kern w:val="0"/>
          <w:sz w:val="32"/>
          <w:szCs w:val="32"/>
          <w14:textFill>
            <w14:solidFill>
              <w14:schemeClr w14:val="tx1"/>
            </w14:solidFill>
          </w14:textFill>
        </w:rPr>
        <w:t xml:space="preserve">  </w:t>
      </w:r>
      <w:r>
        <w:rPr>
          <w:rFonts w:hint="eastAsia" w:ascii="黑体" w:hAnsi="黑体" w:eastAsia="黑体" w:cs="黑体"/>
          <w:b/>
          <w:snapToGrid w:val="0"/>
          <w:color w:val="000000" w:themeColor="text1"/>
          <w:spacing w:val="4"/>
          <w:kern w:val="0"/>
          <w:sz w:val="36"/>
          <w:szCs w:val="36"/>
          <w14:textFill>
            <w14:solidFill>
              <w14:schemeClr w14:val="tx1"/>
            </w14:solidFill>
          </w14:textFill>
        </w:rPr>
        <w:t>福建省房地产业协会估价专家库入选计分标准</w:t>
      </w:r>
      <w:r>
        <w:rPr>
          <w:rFonts w:hint="eastAsia" w:ascii="宋体" w:hAnsi="宋体" w:eastAsia="宋体" w:cs="宋体"/>
          <w:color w:val="000000" w:themeColor="text1"/>
          <w:sz w:val="24"/>
          <w:szCs w:val="24"/>
          <w14:textFill>
            <w14:solidFill>
              <w14:schemeClr w14:val="tx1"/>
            </w14:solidFill>
          </w14:textFill>
        </w:rPr>
        <w:t>（第      届）</w:t>
      </w:r>
    </w:p>
    <w:tbl>
      <w:tblPr>
        <w:tblStyle w:val="5"/>
        <w:tblW w:w="14550" w:type="dxa"/>
        <w:tblInd w:w="100" w:type="dxa"/>
        <w:tblLayout w:type="fixed"/>
        <w:tblCellMar>
          <w:top w:w="0" w:type="dxa"/>
          <w:left w:w="108" w:type="dxa"/>
          <w:bottom w:w="0" w:type="dxa"/>
          <w:right w:w="108" w:type="dxa"/>
        </w:tblCellMar>
      </w:tblPr>
      <w:tblGrid>
        <w:gridCol w:w="575"/>
        <w:gridCol w:w="3518"/>
        <w:gridCol w:w="1268"/>
        <w:gridCol w:w="5912"/>
        <w:gridCol w:w="1942"/>
        <w:gridCol w:w="1335"/>
      </w:tblGrid>
      <w:tr>
        <w:tblPrEx>
          <w:tblCellMar>
            <w:top w:w="0" w:type="dxa"/>
            <w:left w:w="108" w:type="dxa"/>
            <w:bottom w:w="0" w:type="dxa"/>
            <w:right w:w="108" w:type="dxa"/>
          </w:tblCellMar>
        </w:tblPrEx>
        <w:trPr>
          <w:trHeight w:val="885"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bidi="ar"/>
                <w14:textFill>
                  <w14:solidFill>
                    <w14:schemeClr w14:val="tx1"/>
                  </w14:solidFill>
                </w14:textFill>
              </w:rPr>
              <w:t>序号</w:t>
            </w:r>
          </w:p>
        </w:tc>
        <w:tc>
          <w:tcPr>
            <w:tcW w:w="3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bidi="ar"/>
                <w14:textFill>
                  <w14:solidFill>
                    <w14:schemeClr w14:val="tx1"/>
                  </w14:solidFill>
                </w14:textFill>
              </w:rPr>
              <w:t>项目</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themeColor="text1"/>
                <w:kern w:val="0"/>
                <w:sz w:val="24"/>
                <w:szCs w:val="24"/>
                <w:lang w:bidi="ar"/>
                <w14:textFill>
                  <w14:solidFill>
                    <w14:schemeClr w14:val="tx1"/>
                  </w14:solidFill>
                </w14:textFill>
              </w:rPr>
            </w:pPr>
            <w:r>
              <w:rPr>
                <w:rFonts w:hint="eastAsia" w:ascii="宋体" w:hAnsi="宋体" w:eastAsia="宋体" w:cs="宋体"/>
                <w:b/>
                <w:bCs/>
                <w:color w:val="000000" w:themeColor="text1"/>
                <w:kern w:val="0"/>
                <w:sz w:val="24"/>
                <w:szCs w:val="24"/>
                <w:lang w:bidi="ar"/>
                <w14:textFill>
                  <w14:solidFill>
                    <w14:schemeClr w14:val="tx1"/>
                  </w14:solidFill>
                </w14:textFill>
              </w:rPr>
              <w:t>单项</w:t>
            </w:r>
          </w:p>
          <w:p>
            <w:pPr>
              <w:widowControl/>
              <w:jc w:val="center"/>
              <w:textAlignment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bidi="ar"/>
                <w14:textFill>
                  <w14:solidFill>
                    <w14:schemeClr w14:val="tx1"/>
                  </w14:solidFill>
                </w14:textFill>
              </w:rPr>
              <w:t>最高分值</w:t>
            </w:r>
          </w:p>
        </w:tc>
        <w:tc>
          <w:tcPr>
            <w:tcW w:w="5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bidi="ar"/>
                <w14:textFill>
                  <w14:solidFill>
                    <w14:schemeClr w14:val="tx1"/>
                  </w14:solidFill>
                </w14:textFill>
              </w:rPr>
              <w:t>分值构成</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bidi="ar"/>
                <w14:textFill>
                  <w14:solidFill>
                    <w14:schemeClr w14:val="tx1"/>
                  </w14:solidFill>
                </w14:textFill>
              </w:rPr>
              <w:t>申报人填报</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bidi="ar"/>
                <w14:textFill>
                  <w14:solidFill>
                    <w14:schemeClr w14:val="tx1"/>
                  </w14:solidFill>
                </w14:textFill>
              </w:rPr>
              <w:t>得分</w:t>
            </w:r>
          </w:p>
        </w:tc>
      </w:tr>
      <w:tr>
        <w:tblPrEx>
          <w:tblCellMar>
            <w:top w:w="0" w:type="dxa"/>
            <w:left w:w="108" w:type="dxa"/>
            <w:bottom w:w="0" w:type="dxa"/>
            <w:right w:w="108" w:type="dxa"/>
          </w:tblCellMar>
        </w:tblPrEx>
        <w:trPr>
          <w:trHeight w:val="935"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bidi="ar"/>
                <w14:textFill>
                  <w14:solidFill>
                    <w14:schemeClr w14:val="tx1"/>
                  </w14:solidFill>
                </w14:textFill>
              </w:rPr>
              <w:t>房地产估价师执业累计年限</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bidi="ar"/>
                <w14:textFill>
                  <w14:solidFill>
                    <w14:schemeClr w14:val="tx1"/>
                  </w14:solidFill>
                </w14:textFill>
              </w:rPr>
              <w:t>5</w:t>
            </w:r>
          </w:p>
        </w:tc>
        <w:tc>
          <w:tcPr>
            <w:tcW w:w="5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执业累计满10年的得2分，满12年的</w:t>
            </w:r>
            <w:r>
              <w:rPr>
                <w:rStyle w:val="10"/>
                <w:rFonts w:hint="default"/>
                <w:color w:val="000000" w:themeColor="text1"/>
                <w:lang w:bidi="ar"/>
                <w14:textFill>
                  <w14:solidFill>
                    <w14:schemeClr w14:val="tx1"/>
                  </w14:solidFill>
                </w14:textFill>
              </w:rPr>
              <w:t>3分</w:t>
            </w:r>
            <w:r>
              <w:rPr>
                <w:rFonts w:ascii="宋体" w:hAnsi="宋体" w:eastAsia="宋体" w:cs="宋体"/>
                <w:color w:val="000000" w:themeColor="text1"/>
                <w:kern w:val="0"/>
                <w:sz w:val="24"/>
                <w:szCs w:val="24"/>
                <w:lang w:bidi="ar"/>
                <w14:textFill>
                  <w14:solidFill>
                    <w14:schemeClr w14:val="tx1"/>
                  </w14:solidFill>
                </w14:textFill>
              </w:rPr>
              <w:t>，满15</w:t>
            </w:r>
            <w:r>
              <w:rPr>
                <w:rFonts w:hint="eastAsia" w:ascii="宋体" w:hAnsi="宋体" w:eastAsia="宋体" w:cs="宋体"/>
                <w:color w:val="000000" w:themeColor="text1"/>
                <w:kern w:val="0"/>
                <w:sz w:val="24"/>
                <w:szCs w:val="24"/>
                <w:lang w:bidi="ar"/>
                <w14:textFill>
                  <w14:solidFill>
                    <w14:schemeClr w14:val="tx1"/>
                  </w14:solidFill>
                </w14:textFill>
              </w:rPr>
              <w:t>年</w:t>
            </w:r>
            <w:r>
              <w:rPr>
                <w:rFonts w:ascii="宋体" w:hAnsi="宋体" w:eastAsia="宋体" w:cs="宋体"/>
                <w:color w:val="000000" w:themeColor="text1"/>
                <w:kern w:val="0"/>
                <w:sz w:val="24"/>
                <w:szCs w:val="24"/>
                <w:lang w:bidi="ar"/>
                <w14:textFill>
                  <w14:solidFill>
                    <w14:schemeClr w14:val="tx1"/>
                  </w14:solidFill>
                </w14:textFill>
              </w:rPr>
              <w:t>的5分。</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4"/>
                <w:szCs w:val="24"/>
                <w14:textFill>
                  <w14:solidFill>
                    <w14:schemeClr w14:val="tx1"/>
                  </w14:solidFill>
                </w14:textFill>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935"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2</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bidi="ar"/>
                <w14:textFill>
                  <w14:solidFill>
                    <w14:schemeClr w14:val="tx1"/>
                  </w14:solidFill>
                </w14:textFill>
              </w:rPr>
              <w:t>近五年内承担住省建厅组织房地产估价师后续教育培训课程</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bidi="ar"/>
                <w14:textFill>
                  <w14:solidFill>
                    <w14:schemeClr w14:val="tx1"/>
                  </w14:solidFill>
                </w14:textFill>
              </w:rPr>
              <w:t>25</w:t>
            </w:r>
          </w:p>
        </w:tc>
        <w:tc>
          <w:tcPr>
            <w:tcW w:w="5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满4学时25分，满3学时20分，满2学时15分，满1学时10分，不满1学时5分。1学时计时45分钟。</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4"/>
                <w:szCs w:val="24"/>
                <w14:textFill>
                  <w14:solidFill>
                    <w14:schemeClr w14:val="tx1"/>
                  </w14:solidFill>
                </w14:textFill>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1134"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3</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bidi="ar"/>
                <w14:textFill>
                  <w14:solidFill>
                    <w14:schemeClr w14:val="tx1"/>
                  </w14:solidFill>
                </w14:textFill>
              </w:rPr>
              <w:t>近五年内参加设区市及以上政府、房地产估价协会组织的房地产估价报告、涉执房地产司法处置报告等技术评审或专业鉴定</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bidi="ar"/>
                <w14:textFill>
                  <w14:solidFill>
                    <w14:schemeClr w14:val="tx1"/>
                  </w14:solidFill>
                </w14:textFill>
              </w:rPr>
              <w:t>35</w:t>
            </w:r>
          </w:p>
        </w:tc>
        <w:tc>
          <w:tcPr>
            <w:tcW w:w="5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（1）省级、全国级协会或对应政府组织的，累计50份以上（含，下同），35分； 累计40份以上，25分；累计30份以上20分；累计20份以上15分；累计10份以上10分；5份以上5分，5份以内不得分；（2）设区市政府或对应房地产估价协会，各档均参照省级的标准减半计分。分别计取，累计加分</w:t>
            </w:r>
            <w:r>
              <w:rPr>
                <w:rStyle w:val="10"/>
                <w:rFonts w:hint="default"/>
                <w:color w:val="000000" w:themeColor="text1"/>
                <w:lang w:bidi="ar"/>
                <w14:textFill>
                  <w14:solidFill>
                    <w14:schemeClr w14:val="tx1"/>
                  </w14:solidFill>
                </w14:textFill>
              </w:rPr>
              <w:t>。</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4"/>
                <w:szCs w:val="24"/>
                <w14:textFill>
                  <w14:solidFill>
                    <w14:schemeClr w14:val="tx1"/>
                  </w14:solidFill>
                </w14:textFill>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1526"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4</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themeColor="text1"/>
                <w:kern w:val="0"/>
                <w:sz w:val="24"/>
                <w:szCs w:val="24"/>
                <w:lang w:bidi="ar"/>
                <w14:textFill>
                  <w14:solidFill>
                    <w14:schemeClr w14:val="tx1"/>
                  </w14:solidFill>
                </w14:textFill>
              </w:rPr>
            </w:pPr>
            <w:r>
              <w:rPr>
                <w:rFonts w:hint="eastAsia" w:ascii="宋体" w:hAnsi="宋体" w:eastAsia="宋体" w:cs="宋体"/>
                <w:b/>
                <w:bCs/>
                <w:color w:val="000000" w:themeColor="text1"/>
                <w:kern w:val="0"/>
                <w:sz w:val="24"/>
                <w:szCs w:val="24"/>
                <w:lang w:bidi="ar"/>
                <w14:textFill>
                  <w14:solidFill>
                    <w14:schemeClr w14:val="tx1"/>
                  </w14:solidFill>
                </w14:textFill>
              </w:rPr>
              <w:t>专业论文发表</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bidi="ar"/>
                <w14:textFill>
                  <w14:solidFill>
                    <w14:schemeClr w14:val="tx1"/>
                  </w14:solidFill>
                </w14:textFill>
              </w:rPr>
              <w:t>25</w:t>
            </w:r>
          </w:p>
        </w:tc>
        <w:tc>
          <w:tcPr>
            <w:tcW w:w="5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房地产估价及估价相关论文，第一作者计100%，第二作者计50%分值，近五年内（1）在正式CN级刊物发表，16分/篇；（2）在中房学刊物上发表，10分/篇；（3）其他省级、设区市房地产估价协会刊物、网站上发表与专业相关的论文，6分/篇。分别计取，累计加分</w:t>
            </w:r>
            <w:r>
              <w:rPr>
                <w:rStyle w:val="10"/>
                <w:rFonts w:hint="default"/>
                <w:color w:val="000000" w:themeColor="text1"/>
                <w:lang w:bidi="ar"/>
                <w14:textFill>
                  <w14:solidFill>
                    <w14:schemeClr w14:val="tx1"/>
                  </w14:solidFill>
                </w14:textFill>
              </w:rPr>
              <w:t>。</w:t>
            </w:r>
          </w:p>
          <w:p>
            <w:pPr>
              <w:widowControl/>
              <w:jc w:val="left"/>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超过五年及以上文章分值减半。分别计取，累计加分</w:t>
            </w:r>
            <w:r>
              <w:rPr>
                <w:rStyle w:val="10"/>
                <w:rFonts w:hint="default"/>
                <w:color w:val="000000" w:themeColor="text1"/>
                <w:lang w:bidi="ar"/>
                <w14:textFill>
                  <w14:solidFill>
                    <w14:schemeClr w14:val="tx1"/>
                  </w14:solidFill>
                </w14:textFill>
              </w:rPr>
              <w:t>。</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4"/>
                <w:szCs w:val="24"/>
                <w14:textFill>
                  <w14:solidFill>
                    <w14:schemeClr w14:val="tx1"/>
                  </w14:solidFill>
                </w14:textFill>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1737"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5</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bidi="ar"/>
                <w14:textFill>
                  <w14:solidFill>
                    <w14:schemeClr w14:val="tx1"/>
                  </w14:solidFill>
                </w14:textFill>
              </w:rPr>
              <w:t>近五年内主持或实质参、且完成的与省、市级以上房地产估价行业课题研究或相关行业专业技术著作</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bidi="ar"/>
                <w14:textFill>
                  <w14:solidFill>
                    <w14:schemeClr w14:val="tx1"/>
                  </w14:solidFill>
                </w14:textFill>
              </w:rPr>
              <w:t>20</w:t>
            </w:r>
          </w:p>
        </w:tc>
        <w:tc>
          <w:tcPr>
            <w:tcW w:w="5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（1）省级及以上政府、对应房地产估价协会，主持人或署名第一者得20分；</w:t>
            </w:r>
            <w:r>
              <w:rPr>
                <w:rStyle w:val="10"/>
                <w:rFonts w:hint="default"/>
                <w:color w:val="000000" w:themeColor="text1"/>
                <w:lang w:bidi="ar"/>
                <w14:textFill>
                  <w14:solidFill>
                    <w14:schemeClr w14:val="tx1"/>
                  </w14:solidFill>
                </w14:textFill>
              </w:rPr>
              <w:t>实质参与，为署名排序前6位得10分；（2）设区市房地产估价协会，主持人得10分；实质参与，为署名排序前3得5分；（3）已正式出版估价及估价相关行业技术专著，为独立主编得15分，为副主编及以上排名前6位得10分，仅为编委得5分。按项累计得分。</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4"/>
                <w:szCs w:val="24"/>
                <w14:textFill>
                  <w14:solidFill>
                    <w14:schemeClr w14:val="tx1"/>
                  </w14:solidFill>
                </w14:textFill>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1605"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6</w:t>
            </w:r>
          </w:p>
        </w:tc>
        <w:tc>
          <w:tcPr>
            <w:tcW w:w="3518" w:type="dxa"/>
            <w:tcBorders>
              <w:top w:val="nil"/>
              <w:left w:val="single" w:color="000000" w:sz="4" w:space="0"/>
              <w:bottom w:val="nil"/>
              <w:right w:val="single" w:color="000000" w:sz="4" w:space="0"/>
            </w:tcBorders>
            <w:shd w:val="clear" w:color="auto" w:fill="auto"/>
            <w:vAlign w:val="center"/>
          </w:tcPr>
          <w:p>
            <w:pPr>
              <w:widowControl/>
              <w:jc w:val="left"/>
              <w:textAlignment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bidi="ar"/>
                <w14:textFill>
                  <w14:solidFill>
                    <w14:schemeClr w14:val="tx1"/>
                  </w14:solidFill>
                </w14:textFill>
              </w:rPr>
              <w:t>是否具有政府组织的专家资格，分部级、省级、市级房地产估价专家资格</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bidi="ar"/>
                <w14:textFill>
                  <w14:solidFill>
                    <w14:schemeClr w14:val="tx1"/>
                  </w14:solidFill>
                </w14:textFill>
              </w:rPr>
              <w:t>30</w:t>
            </w:r>
          </w:p>
        </w:tc>
        <w:tc>
          <w:tcPr>
            <w:tcW w:w="5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政府组建的各级房地产估价专家库，其中：住建部，20分；住建厅，15分；设区市住建局、房管局、人民法院，5分；分别计取，累计加分。</w:t>
            </w:r>
          </w:p>
          <w:p>
            <w:pPr>
              <w:widowControl/>
              <w:jc w:val="left"/>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兼任自然资源厅、自然资源部、财政厅、财政部政府部门及部队专家库专家资格，合并计一次10分。</w:t>
            </w:r>
          </w:p>
          <w:p>
            <w:pPr>
              <w:widowControl/>
              <w:jc w:val="left"/>
              <w:textAlignment w:val="center"/>
              <w:rPr>
                <w:rFonts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兼任省级估价相关的专业行业协会专家资格，合并计一次5分。</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4"/>
                <w:szCs w:val="24"/>
                <w14:textFill>
                  <w14:solidFill>
                    <w14:schemeClr w14:val="tx1"/>
                  </w14:solidFill>
                </w14:textFill>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848"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7</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bidi="ar"/>
                <w14:textFill>
                  <w14:solidFill>
                    <w14:schemeClr w14:val="tx1"/>
                  </w14:solidFill>
                </w14:textFill>
              </w:rPr>
              <w:t>是否具有估价相关其他全国性注册执业资格</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bidi="ar"/>
                <w14:textFill>
                  <w14:solidFill>
                    <w14:schemeClr w14:val="tx1"/>
                  </w14:solidFill>
                </w14:textFill>
              </w:rPr>
              <w:t>5</w:t>
            </w:r>
          </w:p>
        </w:tc>
        <w:tc>
          <w:tcPr>
            <w:tcW w:w="5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一项，2分。二项及以上，5分。</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4"/>
                <w:szCs w:val="24"/>
                <w14:textFill>
                  <w14:solidFill>
                    <w14:schemeClr w14:val="tx1"/>
                  </w14:solidFill>
                </w14:textFill>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923"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8</w:t>
            </w:r>
          </w:p>
        </w:tc>
        <w:tc>
          <w:tcPr>
            <w:tcW w:w="35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bidi="ar"/>
                <w14:textFill>
                  <w14:solidFill>
                    <w14:schemeClr w14:val="tx1"/>
                  </w14:solidFill>
                </w14:textFill>
              </w:rPr>
              <w:t>估价师注册机构法人所在地域</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bidi="ar"/>
                <w14:textFill>
                  <w14:solidFill>
                    <w14:schemeClr w14:val="tx1"/>
                  </w14:solidFill>
                </w14:textFill>
              </w:rPr>
              <w:t>5</w:t>
            </w:r>
          </w:p>
        </w:tc>
        <w:tc>
          <w:tcPr>
            <w:tcW w:w="5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非福州、厦门、泉州地区（含各区县），得5分；福州、厦门、泉州地区（含各区县）得0分。</w:t>
            </w: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 w:val="24"/>
                <w:szCs w:val="24"/>
                <w14:textFill>
                  <w14:solidFill>
                    <w14:schemeClr w14:val="tx1"/>
                  </w14:solidFill>
                </w14:textFill>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rPr>
          <w:trHeight w:val="720" w:hRule="atLeast"/>
        </w:trPr>
        <w:tc>
          <w:tcPr>
            <w:tcW w:w="40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bidi="ar"/>
                <w14:textFill>
                  <w14:solidFill>
                    <w14:schemeClr w14:val="tx1"/>
                  </w14:solidFill>
                </w14:textFill>
              </w:rPr>
              <w:t>合      计</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bidi="ar"/>
                <w14:textFill>
                  <w14:solidFill>
                    <w14:schemeClr w14:val="tx1"/>
                  </w14:solidFill>
                </w14:textFill>
              </w:rPr>
              <w:t>150</w:t>
            </w:r>
          </w:p>
        </w:tc>
        <w:tc>
          <w:tcPr>
            <w:tcW w:w="59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bCs/>
                <w:color w:val="000000" w:themeColor="text1"/>
                <w:sz w:val="24"/>
                <w:szCs w:val="24"/>
                <w14:textFill>
                  <w14:solidFill>
                    <w14:schemeClr w14:val="tx1"/>
                  </w14:solidFill>
                </w14:textFill>
              </w:rPr>
            </w:pPr>
          </w:p>
        </w:tc>
        <w:tc>
          <w:tcPr>
            <w:tcW w:w="19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bCs/>
                <w:color w:val="000000" w:themeColor="text1"/>
                <w:sz w:val="24"/>
                <w:szCs w:val="24"/>
                <w14:textFill>
                  <w14:solidFill>
                    <w14:schemeClr w14:val="tx1"/>
                  </w14:solidFill>
                </w14:textFill>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wordWrap w:val="0"/>
              <w:jc w:val="right"/>
              <w:textAlignment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bidi="ar"/>
                <w14:textFill>
                  <w14:solidFill>
                    <w14:schemeClr w14:val="tx1"/>
                  </w14:solidFill>
                </w14:textFill>
              </w:rPr>
              <w:t xml:space="preserve"> </w:t>
            </w:r>
          </w:p>
        </w:tc>
      </w:tr>
      <w:tr>
        <w:tblPrEx>
          <w:tblCellMar>
            <w:top w:w="0" w:type="dxa"/>
            <w:left w:w="108" w:type="dxa"/>
            <w:bottom w:w="0" w:type="dxa"/>
            <w:right w:w="108" w:type="dxa"/>
          </w:tblCellMar>
        </w:tblPrEx>
        <w:trPr>
          <w:trHeight w:val="720" w:hRule="atLeast"/>
        </w:trPr>
        <w:tc>
          <w:tcPr>
            <w:tcW w:w="1455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bidi="ar"/>
                <w14:textFill>
                  <w14:solidFill>
                    <w14:schemeClr w14:val="tx1"/>
                  </w14:solidFill>
                </w14:textFill>
              </w:rPr>
              <w:t>备注：</w:t>
            </w:r>
            <w:r>
              <w:rPr>
                <w:rFonts w:hint="eastAsia" w:ascii="宋体" w:hAnsi="宋体" w:eastAsia="宋体" w:cs="宋体"/>
                <w:b/>
                <w:bCs/>
                <w:kern w:val="0"/>
                <w:sz w:val="24"/>
                <w:szCs w:val="24"/>
                <w:lang w:bidi="ar"/>
              </w:rPr>
              <w:t>自《福建省房地产业协会估价专家库管理办法》生效之日起执行，常务专家的基准分为90分，其他专家的基准分为75分。</w:t>
            </w:r>
          </w:p>
        </w:tc>
      </w:tr>
    </w:tbl>
    <w:p>
      <w:pPr>
        <w:ind w:firstLine="840" w:firstLineChars="300"/>
        <w:rPr>
          <w:color w:val="000000" w:themeColor="text1"/>
          <w:sz w:val="28"/>
          <w:szCs w:val="28"/>
          <w14:textFill>
            <w14:solidFill>
              <w14:schemeClr w14:val="tx1"/>
            </w14:solidFill>
          </w14:textFill>
        </w:rPr>
      </w:pP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32895644"/>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BE9865"/>
    <w:multiLevelType w:val="singleLevel"/>
    <w:tmpl w:val="BFBE986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0ZDBmNTdlM2UzNTBjNGMyYmVlOTI5YjVhNTU5ZDEifQ=="/>
  </w:docVars>
  <w:rsids>
    <w:rsidRoot w:val="008F7AED"/>
    <w:rsid w:val="00081079"/>
    <w:rsid w:val="00091E35"/>
    <w:rsid w:val="000F42E5"/>
    <w:rsid w:val="001356EF"/>
    <w:rsid w:val="00214404"/>
    <w:rsid w:val="00280F1B"/>
    <w:rsid w:val="00295613"/>
    <w:rsid w:val="002F34C8"/>
    <w:rsid w:val="002F4558"/>
    <w:rsid w:val="003023F7"/>
    <w:rsid w:val="003145C1"/>
    <w:rsid w:val="00315F3E"/>
    <w:rsid w:val="00352D57"/>
    <w:rsid w:val="00377C6A"/>
    <w:rsid w:val="003E6D9F"/>
    <w:rsid w:val="0040235F"/>
    <w:rsid w:val="00483B14"/>
    <w:rsid w:val="004E0410"/>
    <w:rsid w:val="005D19A4"/>
    <w:rsid w:val="005F4282"/>
    <w:rsid w:val="00636820"/>
    <w:rsid w:val="006816E5"/>
    <w:rsid w:val="00685A97"/>
    <w:rsid w:val="0070585C"/>
    <w:rsid w:val="007479B4"/>
    <w:rsid w:val="007844DA"/>
    <w:rsid w:val="007A2173"/>
    <w:rsid w:val="007F5966"/>
    <w:rsid w:val="00807A9B"/>
    <w:rsid w:val="00825EDD"/>
    <w:rsid w:val="00877D54"/>
    <w:rsid w:val="00882FF1"/>
    <w:rsid w:val="008C1034"/>
    <w:rsid w:val="008F5B60"/>
    <w:rsid w:val="008F7AED"/>
    <w:rsid w:val="00910850"/>
    <w:rsid w:val="0095294A"/>
    <w:rsid w:val="009C5A94"/>
    <w:rsid w:val="009C7FD6"/>
    <w:rsid w:val="009D1BF4"/>
    <w:rsid w:val="009D6599"/>
    <w:rsid w:val="00A21B94"/>
    <w:rsid w:val="00B71A29"/>
    <w:rsid w:val="00B81C09"/>
    <w:rsid w:val="00B9752F"/>
    <w:rsid w:val="00BC4F46"/>
    <w:rsid w:val="00BD76EC"/>
    <w:rsid w:val="00C91BC2"/>
    <w:rsid w:val="00C97B1C"/>
    <w:rsid w:val="00CF0FDE"/>
    <w:rsid w:val="00CF3B6B"/>
    <w:rsid w:val="00D746D1"/>
    <w:rsid w:val="00E3376E"/>
    <w:rsid w:val="00F210E7"/>
    <w:rsid w:val="00F660AF"/>
    <w:rsid w:val="00F94F99"/>
    <w:rsid w:val="00FE5FC5"/>
    <w:rsid w:val="00FF2EA6"/>
    <w:rsid w:val="016F283F"/>
    <w:rsid w:val="02F2586C"/>
    <w:rsid w:val="03AA091F"/>
    <w:rsid w:val="03E728B9"/>
    <w:rsid w:val="04DF7A50"/>
    <w:rsid w:val="04EF033D"/>
    <w:rsid w:val="05280458"/>
    <w:rsid w:val="05AB1D33"/>
    <w:rsid w:val="05B94BA2"/>
    <w:rsid w:val="08A07782"/>
    <w:rsid w:val="08F62101"/>
    <w:rsid w:val="098F0ED5"/>
    <w:rsid w:val="09FF5575"/>
    <w:rsid w:val="0A380FFE"/>
    <w:rsid w:val="0B5665BC"/>
    <w:rsid w:val="0C4F3273"/>
    <w:rsid w:val="0E0B7D94"/>
    <w:rsid w:val="0E6909B3"/>
    <w:rsid w:val="0ED02D09"/>
    <w:rsid w:val="0FF24F69"/>
    <w:rsid w:val="10FD15CF"/>
    <w:rsid w:val="12D955C0"/>
    <w:rsid w:val="12DD0374"/>
    <w:rsid w:val="14A9620E"/>
    <w:rsid w:val="14D33357"/>
    <w:rsid w:val="158A47F5"/>
    <w:rsid w:val="185E1650"/>
    <w:rsid w:val="189143F8"/>
    <w:rsid w:val="1A113891"/>
    <w:rsid w:val="1A474465"/>
    <w:rsid w:val="1B8A507B"/>
    <w:rsid w:val="1BAC59A2"/>
    <w:rsid w:val="1C7712C2"/>
    <w:rsid w:val="1C8478CE"/>
    <w:rsid w:val="1F4C1872"/>
    <w:rsid w:val="204D4F33"/>
    <w:rsid w:val="219224FB"/>
    <w:rsid w:val="235835BD"/>
    <w:rsid w:val="239B21FE"/>
    <w:rsid w:val="24A400FD"/>
    <w:rsid w:val="250A495B"/>
    <w:rsid w:val="253A18A0"/>
    <w:rsid w:val="26013206"/>
    <w:rsid w:val="2615795E"/>
    <w:rsid w:val="28D24D9B"/>
    <w:rsid w:val="28F94EAA"/>
    <w:rsid w:val="2C770C16"/>
    <w:rsid w:val="2D142CA5"/>
    <w:rsid w:val="2DCF37D0"/>
    <w:rsid w:val="30F878AC"/>
    <w:rsid w:val="31423F95"/>
    <w:rsid w:val="316D1732"/>
    <w:rsid w:val="324F7557"/>
    <w:rsid w:val="34B47F8E"/>
    <w:rsid w:val="3618120F"/>
    <w:rsid w:val="368122DE"/>
    <w:rsid w:val="39D83296"/>
    <w:rsid w:val="3A286543"/>
    <w:rsid w:val="3ADF558C"/>
    <w:rsid w:val="3BF655F5"/>
    <w:rsid w:val="3C686B9D"/>
    <w:rsid w:val="3C6E3747"/>
    <w:rsid w:val="3DFD17B5"/>
    <w:rsid w:val="3E4245CD"/>
    <w:rsid w:val="3EC76A8F"/>
    <w:rsid w:val="41C020B1"/>
    <w:rsid w:val="43CC76A3"/>
    <w:rsid w:val="45AB5D6B"/>
    <w:rsid w:val="466F1F67"/>
    <w:rsid w:val="48F70737"/>
    <w:rsid w:val="49584100"/>
    <w:rsid w:val="496C7993"/>
    <w:rsid w:val="49D70B75"/>
    <w:rsid w:val="4AA3453E"/>
    <w:rsid w:val="4AE178D7"/>
    <w:rsid w:val="4B713961"/>
    <w:rsid w:val="4D1A4E59"/>
    <w:rsid w:val="4DD44576"/>
    <w:rsid w:val="4EB965F1"/>
    <w:rsid w:val="4F160B2A"/>
    <w:rsid w:val="4F736F22"/>
    <w:rsid w:val="51802B8C"/>
    <w:rsid w:val="51B504CD"/>
    <w:rsid w:val="5207605B"/>
    <w:rsid w:val="53AA3B97"/>
    <w:rsid w:val="53AC7D2A"/>
    <w:rsid w:val="55B71453"/>
    <w:rsid w:val="564A059B"/>
    <w:rsid w:val="566201DA"/>
    <w:rsid w:val="566C1D5D"/>
    <w:rsid w:val="5710288E"/>
    <w:rsid w:val="57E0460E"/>
    <w:rsid w:val="58546005"/>
    <w:rsid w:val="5C876D00"/>
    <w:rsid w:val="5E155236"/>
    <w:rsid w:val="5EB77F69"/>
    <w:rsid w:val="601616A0"/>
    <w:rsid w:val="604F2370"/>
    <w:rsid w:val="653668A2"/>
    <w:rsid w:val="67DF5B7C"/>
    <w:rsid w:val="687158D5"/>
    <w:rsid w:val="68911568"/>
    <w:rsid w:val="69A4662C"/>
    <w:rsid w:val="6E89595D"/>
    <w:rsid w:val="6F635977"/>
    <w:rsid w:val="6F7F7939"/>
    <w:rsid w:val="6FFF00C1"/>
    <w:rsid w:val="70F05AEC"/>
    <w:rsid w:val="722325BF"/>
    <w:rsid w:val="725F1C95"/>
    <w:rsid w:val="735D0370"/>
    <w:rsid w:val="754216DC"/>
    <w:rsid w:val="76D710DF"/>
    <w:rsid w:val="78410B14"/>
    <w:rsid w:val="791A4539"/>
    <w:rsid w:val="7B167A43"/>
    <w:rsid w:val="7C032847"/>
    <w:rsid w:val="7C3F0E44"/>
    <w:rsid w:val="7D3B1B84"/>
    <w:rsid w:val="7EAE2D80"/>
    <w:rsid w:val="7EF22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autoRedefine/>
    <w:semiHidden/>
    <w:unhideWhenUsed/>
    <w:qFormat/>
    <w:uiPriority w:val="99"/>
    <w:rPr>
      <w:sz w:val="18"/>
      <w:szCs w:val="18"/>
    </w:r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Emphasis"/>
    <w:basedOn w:val="6"/>
    <w:autoRedefine/>
    <w:qFormat/>
    <w:uiPriority w:val="20"/>
    <w:rPr>
      <w:i/>
    </w:rPr>
  </w:style>
  <w:style w:type="character" w:customStyle="1" w:styleId="8">
    <w:name w:val="页眉 Char"/>
    <w:basedOn w:val="6"/>
    <w:link w:val="4"/>
    <w:autoRedefine/>
    <w:qFormat/>
    <w:uiPriority w:val="99"/>
    <w:rPr>
      <w:sz w:val="18"/>
      <w:szCs w:val="18"/>
    </w:rPr>
  </w:style>
  <w:style w:type="character" w:customStyle="1" w:styleId="9">
    <w:name w:val="页脚 Char"/>
    <w:basedOn w:val="6"/>
    <w:link w:val="3"/>
    <w:autoRedefine/>
    <w:qFormat/>
    <w:uiPriority w:val="99"/>
    <w:rPr>
      <w:sz w:val="18"/>
      <w:szCs w:val="18"/>
    </w:rPr>
  </w:style>
  <w:style w:type="character" w:customStyle="1" w:styleId="10">
    <w:name w:val="font01"/>
    <w:basedOn w:val="6"/>
    <w:autoRedefine/>
    <w:qFormat/>
    <w:uiPriority w:val="0"/>
    <w:rPr>
      <w:rFonts w:hint="eastAsia" w:ascii="宋体" w:hAnsi="宋体" w:eastAsia="宋体" w:cs="宋体"/>
      <w:color w:val="000000"/>
      <w:sz w:val="24"/>
      <w:szCs w:val="24"/>
      <w:u w:val="none"/>
    </w:rPr>
  </w:style>
  <w:style w:type="character" w:customStyle="1" w:styleId="11">
    <w:name w:val="批注框文本 Char"/>
    <w:basedOn w:val="6"/>
    <w:link w:val="2"/>
    <w:autoRedefine/>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7117</Words>
  <Characters>7172</Characters>
  <Lines>55</Lines>
  <Paragraphs>15</Paragraphs>
  <TotalTime>3</TotalTime>
  <ScaleCrop>false</ScaleCrop>
  <LinksUpToDate>false</LinksUpToDate>
  <CharactersWithSpaces>7493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2024-05-23T01:50:00Z</dcterms:created>
  <dc:creator>Administrator</dc:creator>
  <cp:lastModifiedBy>嫣然一笑</cp:lastModifiedBy>
  <cp:lastPrinted>2024-05-13T08:39:00Z</cp:lastPrinted>
  <dcterms:modified xsi:type="dcterms:W3CDTF">2024-05-27T09:11:51Z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3DA204C647F544A0BCE22433E7E948E5_13</vt:lpwstr>
  </property>
</Properties>
</file>