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000000" w:themeColor="text1"/>
          <w:sz w:val="36"/>
          <w:szCs w:val="36"/>
          <w14:textFill>
            <w14:solidFill>
              <w14:schemeClr w14:val="tx1"/>
            </w14:solidFill>
          </w14:textFill>
        </w:rPr>
      </w:pPr>
      <w:bookmarkStart w:id="0" w:name="_GoBack"/>
      <w:bookmarkEnd w:id="0"/>
      <w:r>
        <w:rPr>
          <w:rFonts w:hint="eastAsia" w:ascii="黑体" w:hAnsi="黑体" w:eastAsia="黑体" w:cs="黑体"/>
          <w:b/>
          <w:bCs/>
          <w:color w:val="000000" w:themeColor="text1"/>
          <w:sz w:val="36"/>
          <w:szCs w:val="36"/>
          <w14:textFill>
            <w14:solidFill>
              <w14:schemeClr w14:val="tx1"/>
            </w14:solidFill>
          </w14:textFill>
        </w:rPr>
        <w:t>福建省房地产估价机构自律管理手册</w:t>
      </w:r>
    </w:p>
    <w:p>
      <w:pPr>
        <w:keepNext w:val="0"/>
        <w:keepLines w:val="0"/>
        <w:pageBreakBefore w:val="0"/>
        <w:widowControl/>
        <w:kinsoku w:val="0"/>
        <w:wordWrap/>
        <w:overflowPunct/>
        <w:topLinePunct w:val="0"/>
        <w:autoSpaceDE w:val="0"/>
        <w:autoSpaceDN w:val="0"/>
        <w:bidi w:val="0"/>
        <w:adjustRightInd w:val="0"/>
        <w:snapToGrid w:val="0"/>
        <w:spacing w:before="313" w:beforeLines="100" w:after="313" w:afterLines="100" w:line="240" w:lineRule="auto"/>
        <w:ind w:firstLine="560" w:firstLineChars="200"/>
        <w:textAlignment w:val="baseline"/>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公示</w:t>
      </w:r>
      <w:r>
        <w:rPr>
          <w:rFonts w:hint="eastAsia" w:ascii="仿宋" w:hAnsi="仿宋" w:eastAsia="仿宋" w:cs="仿宋"/>
          <w:color w:val="000000" w:themeColor="text1"/>
          <w:sz w:val="28"/>
          <w:szCs w:val="28"/>
          <w14:textFill>
            <w14:solidFill>
              <w14:schemeClr w14:val="tx1"/>
            </w14:solidFill>
          </w14:textFill>
        </w:rPr>
        <w:t>稿）</w:t>
      </w:r>
    </w:p>
    <w:p>
      <w:pPr>
        <w:spacing w:before="156" w:beforeLines="50" w:after="156" w:afterLines="50" w:line="360" w:lineRule="auto"/>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 一 章  总 则</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第一条</w:t>
      </w:r>
      <w:r>
        <w:rPr>
          <w:rFonts w:hint="eastAsia" w:ascii="仿宋" w:hAnsi="仿宋" w:eastAsia="仿宋" w:cs="仿宋"/>
          <w:color w:val="000000" w:themeColor="text1"/>
          <w:sz w:val="28"/>
          <w:szCs w:val="28"/>
          <w14:textFill>
            <w14:solidFill>
              <w14:schemeClr w14:val="tx1"/>
            </w14:solidFill>
          </w14:textFill>
        </w:rPr>
        <w:t xml:space="preserve"> 为建立健全</w:t>
      </w:r>
      <w:r>
        <w:rPr>
          <w:rFonts w:hint="eastAsia" w:ascii="仿宋" w:hAnsi="仿宋" w:eastAsia="仿宋" w:cs="仿宋"/>
          <w:color w:val="000000" w:themeColor="text1"/>
          <w:sz w:val="28"/>
          <w:szCs w:val="28"/>
          <w:lang w:val="en-US" w:eastAsia="zh-CN"/>
          <w14:textFill>
            <w14:solidFill>
              <w14:schemeClr w14:val="tx1"/>
            </w14:solidFill>
          </w14:textFill>
        </w:rPr>
        <w:t>福建省</w:t>
      </w:r>
      <w:r>
        <w:rPr>
          <w:rFonts w:hint="eastAsia" w:ascii="仿宋" w:hAnsi="仿宋" w:eastAsia="仿宋" w:cs="仿宋"/>
          <w:color w:val="000000" w:themeColor="text1"/>
          <w:sz w:val="28"/>
          <w:szCs w:val="28"/>
          <w14:textFill>
            <w14:solidFill>
              <w14:schemeClr w14:val="tx1"/>
            </w14:solidFill>
          </w14:textFill>
        </w:rPr>
        <w:t>房地产估价行业自律管理体系，切实提升房地产估价机构和估价从业人员的风险防范能力，提</w:t>
      </w:r>
      <w:r>
        <w:rPr>
          <w:rFonts w:hint="eastAsia" w:ascii="仿宋" w:hAnsi="仿宋" w:eastAsia="仿宋" w:cs="仿宋"/>
          <w:color w:val="000000" w:themeColor="text1"/>
          <w:sz w:val="28"/>
          <w:szCs w:val="28"/>
          <w:lang w:val="en-US" w:eastAsia="zh-CN"/>
          <w14:textFill>
            <w14:solidFill>
              <w14:schemeClr w14:val="tx1"/>
            </w14:solidFill>
          </w14:textFill>
        </w:rPr>
        <w:t>高估价报告</w:t>
      </w:r>
      <w:r>
        <w:rPr>
          <w:rFonts w:hint="eastAsia" w:ascii="仿宋" w:hAnsi="仿宋" w:eastAsia="仿宋" w:cs="仿宋"/>
          <w:color w:val="000000" w:themeColor="text1"/>
          <w:sz w:val="28"/>
          <w:szCs w:val="28"/>
          <w14:textFill>
            <w14:solidFill>
              <w14:schemeClr w14:val="tx1"/>
            </w14:solidFill>
          </w14:textFill>
        </w:rPr>
        <w:t>社会公信力，营造诚实良好执业的市场环境，根据《中华人民共和国资产评估法》《房地产估价机构管理办法》《注册房地产估价师管理办法》和协会章程，结合本省实际，制定本手册。</w:t>
      </w:r>
    </w:p>
    <w:p>
      <w:pPr>
        <w:spacing w:line="360" w:lineRule="auto"/>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第二条</w:t>
      </w:r>
      <w:r>
        <w:rPr>
          <w:rFonts w:hint="eastAsia" w:ascii="仿宋" w:hAnsi="仿宋" w:eastAsia="仿宋" w:cs="仿宋"/>
          <w:color w:val="000000" w:themeColor="text1"/>
          <w:sz w:val="28"/>
          <w:szCs w:val="28"/>
          <w14:textFill>
            <w14:solidFill>
              <w14:schemeClr w14:val="tx1"/>
            </w14:solidFill>
          </w14:textFill>
        </w:rPr>
        <w:t xml:space="preserve"> 福建省房地产业协会（下简称：</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协会）是福建省内房地产</w:t>
      </w:r>
      <w:r>
        <w:rPr>
          <w:rFonts w:hint="eastAsia" w:ascii="仿宋" w:hAnsi="仿宋" w:eastAsia="仿宋" w:cs="仿宋"/>
          <w:color w:val="000000" w:themeColor="text1"/>
          <w:sz w:val="28"/>
          <w:szCs w:val="28"/>
          <w:lang w:val="en-US" w:eastAsia="zh-CN"/>
          <w14:textFill>
            <w14:solidFill>
              <w14:schemeClr w14:val="tx1"/>
            </w14:solidFill>
          </w14:textFill>
        </w:rPr>
        <w:t>的开发、经纪、征收、租赁、估价等相关企业和</w:t>
      </w:r>
      <w:r>
        <w:rPr>
          <w:rFonts w:hint="eastAsia" w:ascii="仿宋" w:hAnsi="仿宋" w:eastAsia="仿宋" w:cs="仿宋"/>
          <w:color w:val="000000" w:themeColor="text1"/>
          <w:sz w:val="28"/>
          <w:szCs w:val="28"/>
          <w14:textFill>
            <w14:solidFill>
              <w14:schemeClr w14:val="tx1"/>
            </w14:solidFill>
          </w14:textFill>
        </w:rPr>
        <w:t>专业从业人员自愿组成的专业性、行业性、非营利性的社会团体法人。</w:t>
      </w:r>
      <w:r>
        <w:rPr>
          <w:rFonts w:hint="eastAsia" w:ascii="仿宋" w:hAnsi="仿宋" w:eastAsia="仿宋" w:cs="仿宋"/>
          <w:color w:val="000000" w:themeColor="text1"/>
          <w:sz w:val="28"/>
          <w:szCs w:val="28"/>
          <w:lang w:val="en-US" w:eastAsia="zh-CN"/>
          <w14:textFill>
            <w14:solidFill>
              <w14:schemeClr w14:val="tx1"/>
            </w14:solidFill>
          </w14:textFill>
        </w:rPr>
        <w:t>其中，估价行业自律管理组织主要是指本协会中</w:t>
      </w:r>
      <w:r>
        <w:rPr>
          <w:rFonts w:hint="default" w:ascii="仿宋" w:hAnsi="仿宋" w:eastAsia="仿宋" w:cs="仿宋"/>
          <w:color w:val="000000" w:themeColor="text1"/>
          <w:sz w:val="28"/>
          <w:szCs w:val="28"/>
          <w:lang w:val="en-US" w:eastAsia="zh-CN"/>
          <w14:textFill>
            <w14:solidFill>
              <w14:schemeClr w14:val="tx1"/>
            </w14:solidFill>
          </w14:textFill>
        </w:rPr>
        <w:t>从事房地产估价机构及其分支机构、科研院校、社会组织及估价从业人员</w:t>
      </w:r>
      <w:r>
        <w:rPr>
          <w:rFonts w:hint="eastAsia" w:ascii="仿宋" w:hAnsi="仿宋" w:eastAsia="仿宋" w:cs="仿宋"/>
          <w:color w:val="000000" w:themeColor="text1"/>
          <w:sz w:val="28"/>
          <w:szCs w:val="28"/>
          <w:lang w:val="en-US" w:eastAsia="zh-CN"/>
          <w14:textFill>
            <w14:solidFill>
              <w14:schemeClr w14:val="tx1"/>
            </w14:solidFill>
          </w14:textFill>
        </w:rPr>
        <w:t>的自发管理行为、组织与管理体系；</w:t>
      </w:r>
      <w:r>
        <w:rPr>
          <w:rFonts w:hint="eastAsia" w:ascii="仿宋" w:hAnsi="仿宋" w:eastAsia="仿宋" w:cs="仿宋"/>
          <w:color w:val="000000" w:themeColor="text1"/>
          <w:sz w:val="28"/>
          <w:szCs w:val="28"/>
          <w14:textFill>
            <w14:solidFill>
              <w14:schemeClr w14:val="tx1"/>
            </w14:solidFill>
          </w14:textFill>
        </w:rPr>
        <w:t>为了便于管理，</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协会授权下属估价委员会负责对入会的房地产估价行业和相关从业人员进行日常具体管理工作。</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本协会会员分为机构会员和个人会员（个人会员当前主要为注册房地产估价师，下同）。本协会与会员应共同遵守《福建省房地产业协会章程》《福建省房地产业协会估价委员会议事规则》</w:t>
      </w:r>
      <w:r>
        <w:rPr>
          <w:rFonts w:hint="eastAsia" w:ascii="仿宋" w:hAnsi="仿宋" w:eastAsia="仿宋" w:cs="仿宋"/>
          <w:color w:val="000000" w:themeColor="text1"/>
          <w:sz w:val="28"/>
          <w:szCs w:val="28"/>
          <w14:textFill>
            <w14:solidFill>
              <w14:schemeClr w14:val="tx1"/>
            </w14:solidFill>
          </w14:textFill>
        </w:rPr>
        <w:t>，遵守本</w:t>
      </w:r>
      <w:r>
        <w:rPr>
          <w:rFonts w:hint="eastAsia" w:ascii="仿宋" w:hAnsi="仿宋" w:eastAsia="仿宋" w:cs="仿宋"/>
          <w:color w:val="000000" w:themeColor="text1"/>
          <w:sz w:val="28"/>
          <w:szCs w:val="28"/>
          <w:lang w:val="en-US" w:eastAsia="zh-CN"/>
          <w14:textFill>
            <w14:solidFill>
              <w14:schemeClr w14:val="tx1"/>
            </w14:solidFill>
          </w14:textFill>
        </w:rPr>
        <w:t>自律</w:t>
      </w:r>
      <w:r>
        <w:rPr>
          <w:rFonts w:hint="eastAsia" w:ascii="仿宋" w:hAnsi="仿宋" w:eastAsia="仿宋" w:cs="仿宋"/>
          <w:color w:val="000000" w:themeColor="text1"/>
          <w:sz w:val="28"/>
          <w:szCs w:val="28"/>
          <w14:textFill>
            <w14:solidFill>
              <w14:schemeClr w14:val="tx1"/>
            </w14:solidFill>
          </w14:textFill>
        </w:rPr>
        <w:t>手册</w:t>
      </w:r>
      <w:r>
        <w:rPr>
          <w:rFonts w:hint="eastAsia" w:ascii="仿宋" w:hAnsi="仿宋" w:eastAsia="仿宋" w:cs="仿宋"/>
          <w:color w:val="000000" w:themeColor="text1"/>
          <w:sz w:val="28"/>
          <w:szCs w:val="28"/>
          <w:lang w:val="en-US" w:eastAsia="zh-CN"/>
          <w14:textFill>
            <w14:solidFill>
              <w14:schemeClr w14:val="tx1"/>
            </w14:solidFill>
          </w14:textFill>
        </w:rPr>
        <w:t>，接受</w:t>
      </w:r>
      <w:r>
        <w:rPr>
          <w:rFonts w:hint="eastAsia" w:ascii="仿宋" w:hAnsi="仿宋" w:eastAsia="仿宋" w:cs="仿宋"/>
          <w:color w:val="000000" w:themeColor="text1"/>
          <w:sz w:val="28"/>
          <w:szCs w:val="28"/>
          <w14:textFill>
            <w14:solidFill>
              <w14:schemeClr w14:val="tx1"/>
            </w14:solidFill>
          </w14:textFill>
        </w:rPr>
        <w:t>福建省住房和城乡建设厅</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指导</w:t>
      </w:r>
      <w:r>
        <w:rPr>
          <w:rFonts w:hint="eastAsia" w:ascii="仿宋" w:hAnsi="仿宋" w:eastAsia="仿宋" w:cs="仿宋"/>
          <w:color w:val="000000" w:themeColor="text1"/>
          <w:sz w:val="28"/>
          <w:szCs w:val="28"/>
          <w:lang w:val="en-US" w:eastAsia="zh-CN"/>
          <w14:textFill>
            <w14:solidFill>
              <w14:schemeClr w14:val="tx1"/>
            </w14:solidFill>
          </w14:textFill>
        </w:rPr>
        <w:t>和</w:t>
      </w:r>
      <w:r>
        <w:rPr>
          <w:rFonts w:hint="eastAsia" w:ascii="仿宋" w:hAnsi="仿宋" w:eastAsia="仿宋" w:cs="仿宋"/>
          <w:color w:val="000000" w:themeColor="text1"/>
          <w:sz w:val="28"/>
          <w:szCs w:val="28"/>
          <w14:textFill>
            <w14:solidFill>
              <w14:schemeClr w14:val="tx1"/>
            </w14:solidFill>
          </w14:textFill>
        </w:rPr>
        <w:t>监督</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第三条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本协会与福建省内设区市估价协会平等、共同、平行致力于估价行业发展和行业自律管理，共同</w:t>
      </w:r>
      <w:r>
        <w:rPr>
          <w:rFonts w:hint="eastAsia" w:ascii="仿宋" w:hAnsi="仿宋" w:eastAsia="仿宋" w:cs="仿宋"/>
          <w:color w:val="000000" w:themeColor="text1"/>
          <w:sz w:val="28"/>
          <w:szCs w:val="28"/>
          <w14:textFill>
            <w14:solidFill>
              <w14:schemeClr w14:val="tx1"/>
            </w14:solidFill>
          </w14:textFill>
        </w:rPr>
        <w:t>建立健全行业自律管理</w:t>
      </w:r>
      <w:r>
        <w:rPr>
          <w:rFonts w:hint="eastAsia" w:ascii="仿宋" w:hAnsi="仿宋" w:eastAsia="仿宋" w:cs="仿宋"/>
          <w:color w:val="000000" w:themeColor="text1"/>
          <w:sz w:val="28"/>
          <w:szCs w:val="28"/>
          <w:lang w:val="en-US" w:eastAsia="zh-CN"/>
          <w14:textFill>
            <w14:solidFill>
              <w14:schemeClr w14:val="tx1"/>
            </w14:solidFill>
          </w14:textFill>
        </w:rPr>
        <w:t>与评价体系，确立相对一致的可量化的奖罚分体系与具体标准，信息采集推进联动机制，共享信息资源，及时公布公示，相互协同，友好协作，互通共享自律管理成果，有效提升效率和效力，减轻协会与会员重复工作和运行成本，规避对会员正常经营的影响。</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协会自觉</w:t>
      </w:r>
      <w:r>
        <w:rPr>
          <w:rFonts w:hint="eastAsia" w:ascii="仿宋" w:hAnsi="仿宋" w:eastAsia="仿宋" w:cs="仿宋"/>
          <w:color w:val="000000" w:themeColor="text1"/>
          <w:sz w:val="28"/>
          <w:szCs w:val="28"/>
          <w14:textFill>
            <w14:solidFill>
              <w14:schemeClr w14:val="tx1"/>
            </w14:solidFill>
          </w14:textFill>
        </w:rPr>
        <w:t>遵守国家法律法规，信守</w:t>
      </w:r>
      <w:r>
        <w:rPr>
          <w:rFonts w:hint="eastAsia" w:ascii="仿宋" w:hAnsi="仿宋" w:eastAsia="仿宋" w:cs="仿宋"/>
          <w:color w:val="000000" w:themeColor="text1"/>
          <w:sz w:val="28"/>
          <w:szCs w:val="28"/>
          <w:lang w:val="en-US" w:eastAsia="zh-CN"/>
          <w14:textFill>
            <w14:solidFill>
              <w14:schemeClr w14:val="tx1"/>
            </w14:solidFill>
          </w14:textFill>
        </w:rPr>
        <w:t>估价</w:t>
      </w:r>
      <w:r>
        <w:rPr>
          <w:rFonts w:hint="eastAsia" w:ascii="仿宋" w:hAnsi="仿宋" w:eastAsia="仿宋" w:cs="仿宋"/>
          <w:color w:val="000000" w:themeColor="text1"/>
          <w:sz w:val="28"/>
          <w:szCs w:val="28"/>
          <w14:textFill>
            <w14:solidFill>
              <w14:schemeClr w14:val="tx1"/>
            </w14:solidFill>
          </w14:textFill>
        </w:rPr>
        <w:t>职业道德，组织并制定自律信息记分标准及管理</w:t>
      </w:r>
      <w:r>
        <w:rPr>
          <w:rFonts w:hint="eastAsia" w:ascii="仿宋" w:hAnsi="仿宋" w:eastAsia="仿宋" w:cs="仿宋"/>
          <w:color w:val="000000" w:themeColor="text1"/>
          <w:sz w:val="28"/>
          <w:szCs w:val="28"/>
          <w:lang w:val="en-US" w:eastAsia="zh-CN"/>
          <w14:textFill>
            <w14:solidFill>
              <w14:schemeClr w14:val="tx1"/>
            </w14:solidFill>
          </w14:textFill>
        </w:rPr>
        <w:t>流程</w:t>
      </w:r>
      <w:r>
        <w:rPr>
          <w:rFonts w:hint="eastAsia" w:ascii="仿宋" w:hAnsi="仿宋" w:eastAsia="仿宋" w:cs="仿宋"/>
          <w:color w:val="000000" w:themeColor="text1"/>
          <w:sz w:val="28"/>
          <w:szCs w:val="28"/>
          <w14:textFill>
            <w14:solidFill>
              <w14:schemeClr w14:val="tx1"/>
            </w14:solidFill>
          </w14:textFill>
        </w:rPr>
        <w:t>，根据本省房地产估价市场发展状况，</w:t>
      </w:r>
      <w:r>
        <w:rPr>
          <w:rFonts w:hint="eastAsia" w:ascii="仿宋" w:hAnsi="仿宋" w:eastAsia="仿宋" w:cs="仿宋"/>
          <w:color w:val="000000" w:themeColor="text1"/>
          <w:sz w:val="28"/>
          <w:szCs w:val="28"/>
          <w:lang w:val="en-US" w:eastAsia="zh-CN"/>
          <w14:textFill>
            <w14:solidFill>
              <w14:schemeClr w14:val="tx1"/>
            </w14:solidFill>
          </w14:textFill>
        </w:rPr>
        <w:t>与时俱进</w:t>
      </w:r>
      <w:r>
        <w:rPr>
          <w:rFonts w:hint="eastAsia" w:ascii="仿宋" w:hAnsi="仿宋" w:eastAsia="仿宋" w:cs="仿宋"/>
          <w:color w:val="000000" w:themeColor="text1"/>
          <w:sz w:val="28"/>
          <w:szCs w:val="28"/>
          <w14:textFill>
            <w14:solidFill>
              <w14:schemeClr w14:val="tx1"/>
            </w14:solidFill>
          </w14:textFill>
        </w:rPr>
        <w:t>适时予以调整</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提升自律管理效果</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本协会长期组织</w:t>
      </w:r>
      <w:r>
        <w:rPr>
          <w:rFonts w:hint="eastAsia" w:ascii="仿宋" w:hAnsi="仿宋" w:eastAsia="仿宋" w:cs="仿宋"/>
          <w:color w:val="000000" w:themeColor="text1"/>
          <w:sz w:val="28"/>
          <w:szCs w:val="28"/>
          <w14:textFill>
            <w14:solidFill>
              <w14:schemeClr w14:val="tx1"/>
            </w14:solidFill>
          </w14:textFill>
        </w:rPr>
        <w:t>负责</w:t>
      </w:r>
      <w:r>
        <w:rPr>
          <w:rFonts w:hint="eastAsia" w:ascii="仿宋" w:hAnsi="仿宋" w:eastAsia="仿宋" w:cs="仿宋"/>
          <w:color w:val="000000" w:themeColor="text1"/>
          <w:sz w:val="28"/>
          <w:szCs w:val="28"/>
          <w:lang w:val="en-US" w:eastAsia="zh-CN"/>
          <w14:textFill>
            <w14:solidFill>
              <w14:schemeClr w14:val="tx1"/>
            </w14:solidFill>
          </w14:textFill>
        </w:rPr>
        <w:t>对会员</w:t>
      </w:r>
      <w:r>
        <w:rPr>
          <w:rFonts w:hint="eastAsia" w:ascii="仿宋" w:hAnsi="仿宋" w:eastAsia="仿宋" w:cs="仿宋"/>
          <w:color w:val="000000" w:themeColor="text1"/>
          <w:sz w:val="28"/>
          <w:szCs w:val="28"/>
          <w14:textFill>
            <w14:solidFill>
              <w14:schemeClr w14:val="tx1"/>
            </w14:solidFill>
          </w14:textFill>
        </w:rPr>
        <w:t>自律信息的</w:t>
      </w:r>
      <w:r>
        <w:rPr>
          <w:rFonts w:hint="eastAsia" w:ascii="仿宋" w:hAnsi="仿宋" w:eastAsia="仿宋" w:cs="仿宋"/>
          <w:color w:val="000000" w:themeColor="text1"/>
          <w:sz w:val="28"/>
          <w:szCs w:val="28"/>
          <w:lang w:val="en-US" w:eastAsia="zh-CN"/>
          <w14:textFill>
            <w14:solidFill>
              <w14:schemeClr w14:val="tx1"/>
            </w14:solidFill>
          </w14:textFill>
        </w:rPr>
        <w:t>及时</w:t>
      </w:r>
      <w:r>
        <w:rPr>
          <w:rFonts w:hint="eastAsia" w:ascii="仿宋" w:hAnsi="仿宋" w:eastAsia="仿宋" w:cs="仿宋"/>
          <w:color w:val="000000" w:themeColor="text1"/>
          <w:sz w:val="28"/>
          <w:szCs w:val="28"/>
          <w14:textFill>
            <w14:solidFill>
              <w14:schemeClr w14:val="tx1"/>
            </w14:solidFill>
          </w14:textFill>
        </w:rPr>
        <w:t>采集、认定、归集、评价、公布</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报告</w:t>
      </w:r>
      <w:r>
        <w:rPr>
          <w:rFonts w:hint="eastAsia" w:ascii="仿宋" w:hAnsi="仿宋" w:eastAsia="仿宋" w:cs="仿宋"/>
          <w:color w:val="000000" w:themeColor="text1"/>
          <w:sz w:val="28"/>
          <w:szCs w:val="28"/>
          <w14:textFill>
            <w14:solidFill>
              <w14:schemeClr w14:val="tx1"/>
            </w14:solidFill>
          </w14:textFill>
        </w:rPr>
        <w:t>、使用</w:t>
      </w:r>
      <w:r>
        <w:rPr>
          <w:rFonts w:hint="eastAsia" w:ascii="仿宋" w:hAnsi="仿宋" w:eastAsia="仿宋" w:cs="仿宋"/>
          <w:color w:val="000000" w:themeColor="text1"/>
          <w:sz w:val="28"/>
          <w:szCs w:val="28"/>
          <w:lang w:val="en-US" w:eastAsia="zh-CN"/>
          <w14:textFill>
            <w14:solidFill>
              <w14:schemeClr w14:val="tx1"/>
            </w14:solidFill>
          </w14:textFill>
        </w:rPr>
        <w:t>成果</w:t>
      </w:r>
      <w:r>
        <w:rPr>
          <w:rFonts w:hint="eastAsia" w:ascii="仿宋" w:hAnsi="仿宋" w:eastAsia="仿宋" w:cs="仿宋"/>
          <w:color w:val="000000" w:themeColor="text1"/>
          <w:sz w:val="28"/>
          <w:szCs w:val="28"/>
          <w14:textFill>
            <w14:solidFill>
              <w14:schemeClr w14:val="tx1"/>
            </w14:solidFill>
          </w14:textFill>
        </w:rPr>
        <w:t>等</w:t>
      </w:r>
      <w:r>
        <w:rPr>
          <w:rFonts w:hint="eastAsia" w:ascii="仿宋" w:hAnsi="仿宋" w:eastAsia="仿宋" w:cs="仿宋"/>
          <w:color w:val="000000" w:themeColor="text1"/>
          <w:sz w:val="28"/>
          <w:szCs w:val="28"/>
          <w:lang w:val="en-US" w:eastAsia="zh-CN"/>
          <w14:textFill>
            <w14:solidFill>
              <w14:schemeClr w14:val="tx1"/>
            </w14:solidFill>
          </w14:textFill>
        </w:rPr>
        <w:t>环节，主动更新，并做好日常</w:t>
      </w:r>
      <w:r>
        <w:rPr>
          <w:rFonts w:hint="eastAsia" w:ascii="仿宋" w:hAnsi="仿宋" w:eastAsia="仿宋" w:cs="仿宋"/>
          <w:color w:val="000000" w:themeColor="text1"/>
          <w:sz w:val="28"/>
          <w:szCs w:val="28"/>
          <w14:textFill>
            <w14:solidFill>
              <w14:schemeClr w14:val="tx1"/>
            </w14:solidFill>
          </w14:textFill>
        </w:rPr>
        <w:t>管理工作</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对会员的</w:t>
      </w:r>
      <w:r>
        <w:rPr>
          <w:rFonts w:hint="eastAsia" w:ascii="仿宋" w:hAnsi="仿宋" w:eastAsia="仿宋" w:cs="仿宋"/>
          <w:color w:val="000000" w:themeColor="text1"/>
          <w:sz w:val="28"/>
          <w:szCs w:val="28"/>
          <w14:textFill>
            <w14:solidFill>
              <w14:schemeClr w14:val="tx1"/>
            </w14:solidFill>
          </w14:textFill>
        </w:rPr>
        <w:t>自律</w:t>
      </w:r>
      <w:r>
        <w:rPr>
          <w:rFonts w:hint="eastAsia" w:ascii="仿宋" w:hAnsi="仿宋" w:eastAsia="仿宋" w:cs="仿宋"/>
          <w:color w:val="000000" w:themeColor="text1"/>
          <w:sz w:val="28"/>
          <w:szCs w:val="28"/>
          <w:lang w:val="en-US" w:eastAsia="zh-CN"/>
          <w14:textFill>
            <w14:solidFill>
              <w14:schemeClr w14:val="tx1"/>
            </w14:solidFill>
          </w14:textFill>
        </w:rPr>
        <w:t>管理统一采用</w:t>
      </w:r>
      <w:r>
        <w:rPr>
          <w:rFonts w:hint="eastAsia" w:ascii="仿宋" w:hAnsi="仿宋" w:eastAsia="仿宋" w:cs="仿宋"/>
          <w:color w:val="000000" w:themeColor="text1"/>
          <w:sz w:val="28"/>
          <w:szCs w:val="28"/>
          <w14:textFill>
            <w14:solidFill>
              <w14:schemeClr w14:val="tx1"/>
            </w14:solidFill>
          </w14:textFill>
        </w:rPr>
        <w:t>量化评分</w:t>
      </w:r>
      <w:r>
        <w:rPr>
          <w:rFonts w:hint="eastAsia" w:ascii="仿宋" w:hAnsi="仿宋" w:eastAsia="仿宋" w:cs="仿宋"/>
          <w:color w:val="000000" w:themeColor="text1"/>
          <w:sz w:val="28"/>
          <w:szCs w:val="28"/>
          <w:lang w:val="en-US" w:eastAsia="zh-CN"/>
          <w14:textFill>
            <w14:solidFill>
              <w14:schemeClr w14:val="tx1"/>
            </w14:solidFill>
          </w14:textFill>
        </w:rPr>
        <w:t>方式</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以实时汇集的总分对照本手册评定表，自动确定并公布</w:t>
      </w:r>
      <w:r>
        <w:rPr>
          <w:rFonts w:hint="eastAsia" w:ascii="仿宋" w:hAnsi="仿宋" w:eastAsia="仿宋" w:cs="仿宋"/>
          <w:color w:val="000000" w:themeColor="text1"/>
          <w:sz w:val="28"/>
          <w:szCs w:val="28"/>
          <w14:textFill>
            <w14:solidFill>
              <w14:schemeClr w14:val="tx1"/>
            </w14:solidFill>
          </w14:textFill>
        </w:rPr>
        <w:t>其</w:t>
      </w:r>
      <w:r>
        <w:rPr>
          <w:rFonts w:hint="eastAsia" w:ascii="仿宋" w:hAnsi="仿宋" w:eastAsia="仿宋" w:cs="仿宋"/>
          <w:color w:val="000000" w:themeColor="text1"/>
          <w:sz w:val="28"/>
          <w:szCs w:val="28"/>
          <w:lang w:val="en-US" w:eastAsia="zh-CN"/>
          <w14:textFill>
            <w14:solidFill>
              <w14:schemeClr w14:val="tx1"/>
            </w14:solidFill>
          </w14:textFill>
        </w:rPr>
        <w:t>信用</w:t>
      </w:r>
      <w:r>
        <w:rPr>
          <w:rFonts w:hint="eastAsia" w:ascii="仿宋" w:hAnsi="仿宋" w:eastAsia="仿宋" w:cs="仿宋"/>
          <w:color w:val="000000" w:themeColor="text1"/>
          <w:sz w:val="28"/>
          <w:szCs w:val="28"/>
          <w14:textFill>
            <w14:solidFill>
              <w14:schemeClr w14:val="tx1"/>
            </w14:solidFill>
          </w14:textFill>
        </w:rPr>
        <w:t>等级</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并与兄弟行业协会互通自律评价结果和行业警示信息，特别是</w:t>
      </w:r>
      <w:r>
        <w:rPr>
          <w:rFonts w:hint="eastAsia" w:ascii="仿宋" w:hAnsi="仿宋" w:eastAsia="仿宋" w:cs="仿宋"/>
          <w:color w:val="000000" w:themeColor="text1"/>
          <w:sz w:val="28"/>
          <w:szCs w:val="28"/>
          <w14:textFill>
            <w14:solidFill>
              <w14:schemeClr w14:val="tx1"/>
            </w14:solidFill>
          </w14:textFill>
        </w:rPr>
        <w:t>对估价机构及从业人员违背行业自律的信息、突发重大事件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违法</w:t>
      </w:r>
      <w:r>
        <w:rPr>
          <w:rFonts w:hint="eastAsia" w:ascii="仿宋" w:hAnsi="仿宋" w:eastAsia="仿宋" w:cs="仿宋"/>
          <w:color w:val="000000" w:themeColor="text1"/>
          <w:sz w:val="28"/>
          <w:szCs w:val="28"/>
          <w:lang w:val="en-US" w:eastAsia="zh-CN"/>
          <w14:textFill>
            <w14:solidFill>
              <w14:schemeClr w14:val="tx1"/>
            </w14:solidFill>
          </w14:textFill>
        </w:rPr>
        <w:t>行为</w:t>
      </w:r>
      <w:r>
        <w:rPr>
          <w:rFonts w:hint="eastAsia" w:ascii="仿宋" w:hAnsi="仿宋" w:eastAsia="仿宋" w:cs="仿宋"/>
          <w:color w:val="000000" w:themeColor="text1"/>
          <w:sz w:val="28"/>
          <w:szCs w:val="28"/>
          <w14:textFill>
            <w14:solidFill>
              <w14:schemeClr w14:val="tx1"/>
            </w14:solidFill>
          </w14:textFill>
        </w:rPr>
        <w:t>及时报送对应</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eastAsia" w:ascii="仿宋" w:hAnsi="仿宋" w:eastAsia="仿宋" w:cs="仿宋"/>
          <w:color w:val="000000" w:themeColor="text1"/>
          <w:sz w:val="28"/>
          <w:szCs w:val="28"/>
          <w14:textFill>
            <w14:solidFill>
              <w14:schemeClr w14:val="tx1"/>
            </w14:solidFill>
          </w14:textFill>
        </w:rPr>
        <w:t>建设、房管行政主管部门。</w:t>
      </w:r>
    </w:p>
    <w:p>
      <w:pPr>
        <w:spacing w:line="360" w:lineRule="auto"/>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第四条</w:t>
      </w: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自律体系采用统一的得分制，执行奖罚分期满后主动归零的可修复机制，会员的自律起始基础分统一为100分；若机构会员更名，将沿用更名前的信用分；会员经营活动行为一旦触发自律体系设定情形将获得对应的奖罚分，并开始期限时效计时，同时自动汇总其总得分，以总分对应和本手册规定条件成就时，调整会员的自律评价等级，鼓励奖励得分会员不在功劳簿上躺平，也不让被扣分会员永不翻身。本协会提倡积极向上，不断进取精神，共同推动行业进步。</w:t>
      </w:r>
    </w:p>
    <w:p>
      <w:pPr>
        <w:spacing w:line="360" w:lineRule="auto"/>
        <w:ind w:firstLine="562"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第五条</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协会自律管理工作人员应</w:t>
      </w:r>
      <w:r>
        <w:rPr>
          <w:rFonts w:hint="eastAsia" w:ascii="仿宋" w:hAnsi="仿宋" w:eastAsia="仿宋" w:cs="仿宋"/>
          <w:color w:val="000000" w:themeColor="text1"/>
          <w:sz w:val="28"/>
          <w:szCs w:val="28"/>
          <w:lang w:val="en-US" w:eastAsia="zh-CN"/>
          <w14:textFill>
            <w14:solidFill>
              <w14:schemeClr w14:val="tx1"/>
            </w14:solidFill>
          </w14:textFill>
        </w:rPr>
        <w:t>遵纪守法，</w:t>
      </w:r>
      <w:r>
        <w:rPr>
          <w:rFonts w:hint="eastAsia" w:ascii="仿宋" w:hAnsi="仿宋" w:eastAsia="仿宋" w:cs="仿宋"/>
          <w:color w:val="000000" w:themeColor="text1"/>
          <w:sz w:val="28"/>
          <w:szCs w:val="28"/>
          <w14:textFill>
            <w14:solidFill>
              <w14:schemeClr w14:val="tx1"/>
            </w14:solidFill>
          </w14:textFill>
        </w:rPr>
        <w:t>自觉维护社会公共利益和估价机构合法权益，保守商业秘密和个人隐私；应严格遵守自律管理实施程序和</w:t>
      </w:r>
      <w:r>
        <w:rPr>
          <w:rFonts w:hint="eastAsia" w:ascii="仿宋" w:hAnsi="仿宋" w:eastAsia="仿宋" w:cs="仿宋"/>
          <w:color w:val="000000" w:themeColor="text1"/>
          <w:sz w:val="28"/>
          <w:szCs w:val="28"/>
          <w:lang w:val="en-US" w:eastAsia="zh-CN"/>
          <w14:textFill>
            <w14:solidFill>
              <w14:schemeClr w14:val="tx1"/>
            </w14:solidFill>
          </w14:textFill>
        </w:rPr>
        <w:t>评价</w:t>
      </w:r>
      <w:r>
        <w:rPr>
          <w:rFonts w:hint="eastAsia" w:ascii="仿宋" w:hAnsi="仿宋" w:eastAsia="仿宋" w:cs="仿宋"/>
          <w:color w:val="000000" w:themeColor="text1"/>
          <w:sz w:val="28"/>
          <w:szCs w:val="28"/>
          <w14:textFill>
            <w14:solidFill>
              <w14:schemeClr w14:val="tx1"/>
            </w14:solidFill>
          </w14:textFill>
        </w:rPr>
        <w:t>指标标准，保证自律管理</w:t>
      </w:r>
      <w:r>
        <w:rPr>
          <w:rFonts w:hint="eastAsia" w:ascii="仿宋" w:hAnsi="仿宋" w:eastAsia="仿宋" w:cs="仿宋"/>
          <w:color w:val="000000" w:themeColor="text1"/>
          <w:sz w:val="28"/>
          <w:szCs w:val="28"/>
          <w:lang w:val="en-US" w:eastAsia="zh-CN"/>
          <w14:textFill>
            <w14:solidFill>
              <w14:schemeClr w14:val="tx1"/>
            </w14:solidFill>
          </w14:textFill>
        </w:rPr>
        <w:t>成果和</w:t>
      </w:r>
      <w:r>
        <w:rPr>
          <w:rFonts w:hint="eastAsia" w:ascii="仿宋" w:hAnsi="仿宋" w:eastAsia="仿宋" w:cs="仿宋"/>
          <w:color w:val="000000" w:themeColor="text1"/>
          <w:sz w:val="28"/>
          <w:szCs w:val="28"/>
          <w14:textFill>
            <w14:solidFill>
              <w14:schemeClr w14:val="tx1"/>
            </w14:solidFill>
          </w14:textFill>
        </w:rPr>
        <w:t>信用等级</w:t>
      </w:r>
      <w:r>
        <w:rPr>
          <w:rFonts w:hint="eastAsia" w:ascii="仿宋" w:hAnsi="仿宋" w:eastAsia="仿宋" w:cs="仿宋"/>
          <w:color w:val="000000" w:themeColor="text1"/>
          <w:sz w:val="28"/>
          <w:szCs w:val="28"/>
          <w:lang w:val="en-US" w:eastAsia="zh-CN"/>
          <w14:textFill>
            <w14:solidFill>
              <w14:schemeClr w14:val="tx1"/>
            </w14:solidFill>
          </w14:textFill>
        </w:rPr>
        <w:t>评价的</w:t>
      </w:r>
      <w:r>
        <w:rPr>
          <w:rFonts w:hint="eastAsia" w:ascii="仿宋" w:hAnsi="仿宋" w:eastAsia="仿宋" w:cs="仿宋"/>
          <w:color w:val="000000" w:themeColor="text1"/>
          <w:sz w:val="28"/>
          <w:szCs w:val="28"/>
          <w14:textFill>
            <w14:solidFill>
              <w14:schemeClr w14:val="tx1"/>
            </w14:solidFill>
          </w14:textFill>
        </w:rPr>
        <w:t>公正性、客观性</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及时性</w:t>
      </w:r>
      <w:r>
        <w:rPr>
          <w:rFonts w:hint="eastAsia" w:ascii="仿宋" w:hAnsi="仿宋" w:eastAsia="仿宋" w:cs="仿宋"/>
          <w:color w:val="000000" w:themeColor="text1"/>
          <w:sz w:val="28"/>
          <w:szCs w:val="28"/>
          <w14:textFill>
            <w14:solidFill>
              <w14:schemeClr w14:val="tx1"/>
            </w14:solidFill>
          </w14:textFill>
        </w:rPr>
        <w:t>；不得弄虚作假或徇私舞弊，不得泄露、</w:t>
      </w:r>
      <w:r>
        <w:rPr>
          <w:rFonts w:hint="eastAsia" w:ascii="仿宋" w:hAnsi="仿宋" w:eastAsia="仿宋" w:cs="仿宋"/>
          <w:color w:val="000000" w:themeColor="text1"/>
          <w:sz w:val="28"/>
          <w:szCs w:val="28"/>
          <w:lang w:val="en-US" w:eastAsia="zh-CN"/>
          <w14:textFill>
            <w14:solidFill>
              <w14:schemeClr w14:val="tx1"/>
            </w14:solidFill>
          </w14:textFill>
        </w:rPr>
        <w:t>不得</w:t>
      </w:r>
      <w:r>
        <w:rPr>
          <w:rFonts w:hint="eastAsia" w:ascii="仿宋" w:hAnsi="仿宋" w:eastAsia="仿宋" w:cs="仿宋"/>
          <w:color w:val="000000" w:themeColor="text1"/>
          <w:sz w:val="28"/>
          <w:szCs w:val="28"/>
          <w14:textFill>
            <w14:solidFill>
              <w14:schemeClr w14:val="tx1"/>
            </w14:solidFill>
          </w14:textFill>
        </w:rPr>
        <w:t>非法使用</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利用</w:t>
      </w:r>
      <w:r>
        <w:rPr>
          <w:rFonts w:hint="eastAsia" w:ascii="仿宋" w:hAnsi="仿宋" w:eastAsia="仿宋" w:cs="仿宋"/>
          <w:color w:val="000000" w:themeColor="text1"/>
          <w:sz w:val="28"/>
          <w:szCs w:val="28"/>
          <w14:textFill>
            <w14:solidFill>
              <w14:schemeClr w14:val="tx1"/>
            </w14:solidFill>
          </w14:textFill>
        </w:rPr>
        <w:t>在</w:t>
      </w:r>
      <w:r>
        <w:rPr>
          <w:rFonts w:hint="eastAsia" w:ascii="仿宋" w:hAnsi="仿宋" w:eastAsia="仿宋" w:cs="仿宋"/>
          <w:color w:val="000000" w:themeColor="text1"/>
          <w:sz w:val="28"/>
          <w:szCs w:val="28"/>
          <w:lang w:val="en-US" w:eastAsia="zh-CN"/>
          <w14:textFill>
            <w14:solidFill>
              <w14:schemeClr w14:val="tx1"/>
            </w14:solidFill>
          </w14:textFill>
        </w:rPr>
        <w:t>协会</w:t>
      </w:r>
      <w:r>
        <w:rPr>
          <w:rFonts w:hint="eastAsia" w:ascii="仿宋" w:hAnsi="仿宋" w:eastAsia="仿宋" w:cs="仿宋"/>
          <w:color w:val="000000" w:themeColor="text1"/>
          <w:sz w:val="28"/>
          <w:szCs w:val="28"/>
          <w14:textFill>
            <w14:solidFill>
              <w14:schemeClr w14:val="tx1"/>
            </w14:solidFill>
          </w14:textFill>
        </w:rPr>
        <w:t>自律管理过程中获悉的估价机构商业信息</w:t>
      </w:r>
      <w:r>
        <w:rPr>
          <w:rFonts w:hint="eastAsia" w:ascii="仿宋" w:hAnsi="仿宋" w:eastAsia="仿宋" w:cs="仿宋"/>
          <w:color w:val="000000" w:themeColor="text1"/>
          <w:sz w:val="28"/>
          <w:szCs w:val="28"/>
          <w:lang w:val="en-US" w:eastAsia="zh-CN"/>
          <w14:textFill>
            <w14:solidFill>
              <w14:schemeClr w14:val="tx1"/>
            </w14:solidFill>
          </w14:textFill>
        </w:rPr>
        <w:t>或其他机密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应采取有效措施防范商业机密和个人隐私信息外泄。</w:t>
      </w:r>
    </w:p>
    <w:p>
      <w:pPr>
        <w:spacing w:before="156" w:beforeLines="50" w:after="156" w:afterLines="50" w:line="360" w:lineRule="auto"/>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第二章 自律信息内容</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六</w:t>
      </w:r>
      <w:r>
        <w:rPr>
          <w:rFonts w:hint="eastAsia" w:ascii="黑体" w:hAnsi="黑体" w:eastAsia="黑体" w:cs="黑体"/>
          <w:b/>
          <w:bCs/>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14:textFill>
            <w14:solidFill>
              <w14:schemeClr w14:val="tx1"/>
            </w14:solidFill>
          </w14:textFill>
        </w:rPr>
        <w:t xml:space="preserve"> 行业自律信息包含基本信息、优秀执业信息、不良执业信息三部分。</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机构会员的</w:t>
      </w:r>
      <w:r>
        <w:rPr>
          <w:rFonts w:hint="eastAsia" w:ascii="仿宋" w:hAnsi="仿宋" w:eastAsia="仿宋" w:cs="仿宋"/>
          <w:color w:val="000000" w:themeColor="text1"/>
          <w:sz w:val="28"/>
          <w:szCs w:val="28"/>
          <w14:textFill>
            <w14:solidFill>
              <w14:schemeClr w14:val="tx1"/>
            </w14:solidFill>
          </w14:textFill>
        </w:rPr>
        <w:t>基本信息包括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机构</w:t>
      </w: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含变更前及历史使用的企业名称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、注册地址、</w:t>
      </w:r>
      <w:r>
        <w:rPr>
          <w:rFonts w:hint="eastAsia" w:ascii="仿宋" w:hAnsi="仿宋" w:eastAsia="仿宋" w:cs="仿宋"/>
          <w:color w:val="000000" w:themeColor="text1"/>
          <w:sz w:val="28"/>
          <w:szCs w:val="28"/>
          <w:lang w:val="en-US" w:eastAsia="zh-CN"/>
          <w14:textFill>
            <w14:solidFill>
              <w14:schemeClr w14:val="tx1"/>
            </w14:solidFill>
          </w14:textFill>
        </w:rPr>
        <w:t>现办公地址、</w:t>
      </w:r>
      <w:r>
        <w:rPr>
          <w:rFonts w:hint="eastAsia" w:ascii="仿宋" w:hAnsi="仿宋" w:eastAsia="仿宋" w:cs="仿宋"/>
          <w:color w:val="000000" w:themeColor="text1"/>
          <w:sz w:val="28"/>
          <w:szCs w:val="28"/>
          <w14:textFill>
            <w14:solidFill>
              <w14:schemeClr w14:val="tx1"/>
            </w14:solidFill>
          </w14:textFill>
        </w:rPr>
        <w:t>法定代表人、联系方式、备案等级及其有效期、从业人员数量等信息。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估价从业人员</w:t>
      </w:r>
      <w:r>
        <w:rPr>
          <w:rFonts w:hint="eastAsia" w:ascii="仿宋" w:hAnsi="仿宋" w:eastAsia="仿宋" w:cs="仿宋"/>
          <w:color w:val="000000" w:themeColor="text1"/>
          <w:sz w:val="28"/>
          <w:szCs w:val="28"/>
          <w:lang w:val="en-US" w:eastAsia="zh-CN"/>
          <w14:textFill>
            <w14:solidFill>
              <w14:schemeClr w14:val="tx1"/>
            </w14:solidFill>
          </w14:textFill>
        </w:rPr>
        <w:t>原则上纳入机构会员进行统一管理，</w:t>
      </w:r>
      <w:r>
        <w:rPr>
          <w:rFonts w:hint="eastAsia" w:ascii="仿宋" w:hAnsi="仿宋" w:eastAsia="仿宋" w:cs="仿宋"/>
          <w:color w:val="000000" w:themeColor="text1"/>
          <w:sz w:val="28"/>
          <w:szCs w:val="28"/>
          <w14:textFill>
            <w14:solidFill>
              <w14:schemeClr w14:val="tx1"/>
            </w14:solidFill>
          </w14:textFill>
        </w:rPr>
        <w:t>基本信息包括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从业人员的</w:t>
      </w:r>
      <w:r>
        <w:rPr>
          <w:rFonts w:hint="eastAsia" w:ascii="仿宋" w:hAnsi="仿宋" w:eastAsia="仿宋" w:cs="仿宋"/>
          <w:color w:val="000000" w:themeColor="text1"/>
          <w:sz w:val="28"/>
          <w:szCs w:val="28"/>
          <w14:textFill>
            <w14:solidFill>
              <w14:schemeClr w14:val="tx1"/>
            </w14:solidFill>
          </w14:textFill>
        </w:rPr>
        <w:t>姓名、性别、</w:t>
      </w:r>
      <w:r>
        <w:rPr>
          <w:rFonts w:hint="eastAsia" w:ascii="仿宋" w:hAnsi="仿宋" w:eastAsia="仿宋" w:cs="仿宋"/>
          <w:color w:val="000000" w:themeColor="text1"/>
          <w:sz w:val="28"/>
          <w:szCs w:val="28"/>
          <w:lang w:val="en-US" w:eastAsia="zh-CN"/>
          <w14:textFill>
            <w14:solidFill>
              <w14:schemeClr w14:val="tx1"/>
            </w14:solidFill>
          </w14:textFill>
        </w:rPr>
        <w:t>政治面貌、执业年限、</w:t>
      </w:r>
      <w:r>
        <w:rPr>
          <w:rFonts w:hint="eastAsia" w:ascii="仿宋" w:hAnsi="仿宋" w:eastAsia="仿宋" w:cs="仿宋"/>
          <w:color w:val="000000" w:themeColor="text1"/>
          <w:sz w:val="28"/>
          <w:szCs w:val="28"/>
          <w14:textFill>
            <w14:solidFill>
              <w14:schemeClr w14:val="tx1"/>
            </w14:solidFill>
          </w14:textFill>
        </w:rPr>
        <w:t>执业经历、注册证号、联系方式、执业单位等信息。</w:t>
      </w:r>
    </w:p>
    <w:p>
      <w:pPr>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七</w:t>
      </w:r>
      <w:r>
        <w:rPr>
          <w:rFonts w:hint="eastAsia" w:ascii="黑体" w:hAnsi="黑体" w:eastAsia="黑体" w:cs="黑体"/>
          <w:b/>
          <w:bCs/>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会员的</w:t>
      </w:r>
      <w:r>
        <w:rPr>
          <w:rFonts w:hint="eastAsia" w:ascii="仿宋" w:hAnsi="仿宋" w:eastAsia="仿宋" w:cs="仿宋"/>
          <w:color w:val="000000" w:themeColor="text1"/>
          <w:sz w:val="28"/>
          <w:szCs w:val="28"/>
          <w14:textFill>
            <w14:solidFill>
              <w14:schemeClr w14:val="tx1"/>
            </w14:solidFill>
          </w14:textFill>
        </w:rPr>
        <w:t>优秀执业信息，主要包括下列内容，具体详见本手册附件</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《协会会员优秀执业行为自律评价指标体系》。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 从事房地产估价服务活动获</w:t>
      </w:r>
      <w:r>
        <w:rPr>
          <w:rFonts w:hint="eastAsia" w:ascii="仿宋" w:hAnsi="仿宋" w:eastAsia="仿宋" w:cs="仿宋"/>
          <w:color w:val="000000" w:themeColor="text1"/>
          <w:sz w:val="28"/>
          <w:szCs w:val="28"/>
          <w:lang w:eastAsia="zh-CN"/>
          <w14:textFill>
            <w14:solidFill>
              <w14:schemeClr w14:val="tx1"/>
            </w14:solidFill>
          </w14:textFill>
        </w:rPr>
        <w:t>设区市</w:t>
      </w:r>
      <w:r>
        <w:rPr>
          <w:rFonts w:hint="eastAsia" w:ascii="仿宋" w:hAnsi="仿宋" w:eastAsia="仿宋" w:cs="仿宋"/>
          <w:color w:val="000000" w:themeColor="text1"/>
          <w:sz w:val="28"/>
          <w:szCs w:val="28"/>
          <w14:textFill>
            <w14:solidFill>
              <w14:schemeClr w14:val="tx1"/>
            </w14:solidFill>
          </w14:textFill>
        </w:rPr>
        <w:t>及以上政府及行业行政主管部门表彰的信息；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 从事房地产估价活动获</w:t>
      </w:r>
      <w:r>
        <w:rPr>
          <w:rFonts w:hint="eastAsia" w:ascii="仿宋" w:hAnsi="仿宋" w:eastAsia="仿宋" w:cs="仿宋"/>
          <w:color w:val="000000" w:themeColor="text1"/>
          <w:sz w:val="28"/>
          <w:szCs w:val="28"/>
          <w:lang w:val="en-US" w:eastAsia="zh-CN"/>
          <w14:textFill>
            <w14:solidFill>
              <w14:schemeClr w14:val="tx1"/>
            </w14:solidFill>
          </w14:textFill>
        </w:rPr>
        <w:t>中国房地产估价师与房地产经纪人学会</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本协会、福建省内各地</w:t>
      </w:r>
      <w:r>
        <w:rPr>
          <w:rFonts w:hint="eastAsia" w:ascii="仿宋" w:hAnsi="仿宋" w:eastAsia="仿宋" w:cs="仿宋"/>
          <w:color w:val="000000" w:themeColor="text1"/>
          <w:sz w:val="28"/>
          <w:szCs w:val="28"/>
          <w14:textFill>
            <w14:solidFill>
              <w14:schemeClr w14:val="tx1"/>
            </w14:solidFill>
          </w14:textFill>
        </w:rPr>
        <w:t>市房地产估价行业协会</w:t>
      </w:r>
      <w:r>
        <w:rPr>
          <w:rFonts w:hint="eastAsia" w:ascii="仿宋" w:hAnsi="仿宋" w:eastAsia="仿宋" w:cs="仿宋"/>
          <w:color w:val="000000" w:themeColor="text1"/>
          <w:sz w:val="28"/>
          <w:szCs w:val="28"/>
          <w:lang w:eastAsia="zh-CN"/>
          <w14:textFill>
            <w14:solidFill>
              <w14:schemeClr w14:val="tx1"/>
            </w14:solidFill>
          </w14:textFill>
        </w:rPr>
        <w:t>（下简称：全国、省、市协会）</w:t>
      </w:r>
      <w:r>
        <w:rPr>
          <w:rFonts w:hint="eastAsia" w:ascii="仿宋" w:hAnsi="仿宋" w:eastAsia="仿宋" w:cs="仿宋"/>
          <w:color w:val="000000" w:themeColor="text1"/>
          <w:sz w:val="28"/>
          <w:szCs w:val="28"/>
          <w14:textFill>
            <w14:solidFill>
              <w14:schemeClr w14:val="tx1"/>
            </w14:solidFill>
          </w14:textFill>
        </w:rPr>
        <w:t>表彰的信息；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 参与</w:t>
      </w:r>
      <w:r>
        <w:rPr>
          <w:rFonts w:hint="eastAsia" w:ascii="仿宋" w:hAnsi="仿宋" w:eastAsia="仿宋" w:cs="仿宋"/>
          <w:color w:val="000000" w:themeColor="text1"/>
          <w:sz w:val="28"/>
          <w:szCs w:val="28"/>
          <w:lang w:val="en-US" w:eastAsia="zh-CN"/>
          <w14:textFill>
            <w14:solidFill>
              <w14:schemeClr w14:val="tx1"/>
            </w14:solidFill>
          </w14:textFill>
        </w:rPr>
        <w:t>年度内累计人民币壹万元及以上的</w:t>
      </w:r>
      <w:r>
        <w:rPr>
          <w:rFonts w:hint="eastAsia" w:ascii="仿宋" w:hAnsi="仿宋" w:eastAsia="仿宋" w:cs="仿宋"/>
          <w:color w:val="000000" w:themeColor="text1"/>
          <w:sz w:val="28"/>
          <w:szCs w:val="28"/>
          <w14:textFill>
            <w14:solidFill>
              <w14:schemeClr w14:val="tx1"/>
            </w14:solidFill>
          </w14:textFill>
        </w:rPr>
        <w:t>慈善救助和社会公益等活动的信息</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以及通过本协会符合以上金额的其他可量化的捐赠</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积极参与</w:t>
      </w:r>
      <w:r>
        <w:rPr>
          <w:rFonts w:hint="eastAsia" w:ascii="仿宋" w:hAnsi="仿宋" w:eastAsia="仿宋" w:cs="仿宋"/>
          <w:color w:val="000000" w:themeColor="text1"/>
          <w:sz w:val="28"/>
          <w:szCs w:val="28"/>
          <w:lang w:eastAsia="zh-CN"/>
          <w14:textFill>
            <w14:solidFill>
              <w14:schemeClr w14:val="tx1"/>
            </w14:solidFill>
          </w14:textFill>
        </w:rPr>
        <w:t>设区市</w:t>
      </w:r>
      <w:r>
        <w:rPr>
          <w:rFonts w:hint="eastAsia" w:ascii="仿宋" w:hAnsi="仿宋" w:eastAsia="仿宋" w:cs="仿宋"/>
          <w:color w:val="000000" w:themeColor="text1"/>
          <w:sz w:val="28"/>
          <w:szCs w:val="28"/>
          <w14:textFill>
            <w14:solidFill>
              <w14:schemeClr w14:val="tx1"/>
            </w14:solidFill>
          </w14:textFill>
        </w:rPr>
        <w:t>及以上政府部门或全国、省、市协会开展房地产估价行业</w:t>
      </w:r>
      <w:r>
        <w:rPr>
          <w:rFonts w:hint="eastAsia" w:ascii="仿宋" w:hAnsi="仿宋" w:eastAsia="仿宋" w:cs="仿宋"/>
          <w:color w:val="000000" w:themeColor="text1"/>
          <w:sz w:val="28"/>
          <w:szCs w:val="28"/>
          <w:lang w:val="en-US" w:eastAsia="zh-CN"/>
          <w14:textFill>
            <w14:solidFill>
              <w14:schemeClr w14:val="tx1"/>
            </w14:solidFill>
          </w14:textFill>
        </w:rPr>
        <w:t>主题</w:t>
      </w:r>
      <w:r>
        <w:rPr>
          <w:rFonts w:hint="eastAsia" w:ascii="仿宋" w:hAnsi="仿宋" w:eastAsia="仿宋" w:cs="仿宋"/>
          <w:color w:val="000000" w:themeColor="text1"/>
          <w:sz w:val="28"/>
          <w:szCs w:val="28"/>
          <w14:textFill>
            <w14:solidFill>
              <w14:schemeClr w14:val="tx1"/>
            </w14:solidFill>
          </w14:textFill>
        </w:rPr>
        <w:t>调研或</w:t>
      </w:r>
      <w:r>
        <w:rPr>
          <w:rFonts w:hint="eastAsia" w:ascii="仿宋" w:hAnsi="仿宋" w:eastAsia="仿宋" w:cs="仿宋"/>
          <w:color w:val="000000" w:themeColor="text1"/>
          <w:sz w:val="28"/>
          <w:szCs w:val="28"/>
          <w:lang w:val="en-US" w:eastAsia="zh-CN"/>
          <w14:textFill>
            <w14:solidFill>
              <w14:schemeClr w14:val="tx1"/>
            </w14:solidFill>
          </w14:textFill>
        </w:rPr>
        <w:t>专业</w:t>
      </w:r>
      <w:r>
        <w:rPr>
          <w:rFonts w:hint="eastAsia" w:ascii="仿宋" w:hAnsi="仿宋" w:eastAsia="仿宋" w:cs="仿宋"/>
          <w:color w:val="000000" w:themeColor="text1"/>
          <w:sz w:val="28"/>
          <w:szCs w:val="28"/>
          <w14:textFill>
            <w14:solidFill>
              <w14:schemeClr w14:val="tx1"/>
            </w14:solidFill>
          </w14:textFill>
        </w:rPr>
        <w:t>课题研究，且调研(研究)成果被采用或被表彰的信息；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 其他受</w:t>
      </w:r>
      <w:r>
        <w:rPr>
          <w:rFonts w:hint="eastAsia" w:ascii="仿宋" w:hAnsi="仿宋" w:eastAsia="仿宋" w:cs="仿宋"/>
          <w:color w:val="000000" w:themeColor="text1"/>
          <w:sz w:val="28"/>
          <w:szCs w:val="28"/>
          <w:lang w:eastAsia="zh-CN"/>
          <w14:textFill>
            <w14:solidFill>
              <w14:schemeClr w14:val="tx1"/>
            </w14:solidFill>
          </w14:textFill>
        </w:rPr>
        <w:t>设区市</w:t>
      </w:r>
      <w:r>
        <w:rPr>
          <w:rFonts w:hint="eastAsia" w:ascii="仿宋" w:hAnsi="仿宋" w:eastAsia="仿宋" w:cs="仿宋"/>
          <w:color w:val="000000" w:themeColor="text1"/>
          <w:sz w:val="28"/>
          <w:szCs w:val="28"/>
          <w14:textFill>
            <w14:solidFill>
              <w14:schemeClr w14:val="tx1"/>
            </w14:solidFill>
          </w14:textFill>
        </w:rPr>
        <w:t>及以上政府表彰</w:t>
      </w:r>
      <w:r>
        <w:rPr>
          <w:rFonts w:hint="eastAsia" w:ascii="仿宋" w:hAnsi="仿宋" w:eastAsia="仿宋" w:cs="仿宋"/>
          <w:color w:val="000000" w:themeColor="text1"/>
          <w:sz w:val="28"/>
          <w:szCs w:val="28"/>
          <w:lang w:val="en-US" w:eastAsia="zh-CN"/>
          <w14:textFill>
            <w14:solidFill>
              <w14:schemeClr w14:val="tx1"/>
            </w14:solidFill>
          </w14:textFill>
        </w:rPr>
        <w:t>的估价</w:t>
      </w:r>
      <w:r>
        <w:rPr>
          <w:rFonts w:hint="eastAsia" w:ascii="仿宋" w:hAnsi="仿宋" w:eastAsia="仿宋" w:cs="仿宋"/>
          <w:color w:val="000000" w:themeColor="text1"/>
          <w:sz w:val="28"/>
          <w:szCs w:val="28"/>
          <w14:textFill>
            <w14:solidFill>
              <w14:schemeClr w14:val="tx1"/>
            </w14:solidFill>
          </w14:textFill>
        </w:rPr>
        <w:t>优秀执业的信息。</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八</w:t>
      </w:r>
      <w:r>
        <w:rPr>
          <w:rFonts w:hint="eastAsia" w:ascii="黑体" w:hAnsi="黑体" w:eastAsia="黑体" w:cs="黑体"/>
          <w:b/>
          <w:bCs/>
          <w:color w:val="000000" w:themeColor="text1"/>
          <w:sz w:val="28"/>
          <w:szCs w:val="28"/>
          <w14:textFill>
            <w14:solidFill>
              <w14:schemeClr w14:val="tx1"/>
            </w14:solidFill>
          </w14:textFill>
        </w:rPr>
        <w:t>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会员的</w:t>
      </w:r>
      <w:r>
        <w:rPr>
          <w:rFonts w:hint="eastAsia" w:ascii="仿宋" w:hAnsi="仿宋" w:eastAsia="仿宋" w:cs="仿宋"/>
          <w:color w:val="000000" w:themeColor="text1"/>
          <w:sz w:val="28"/>
          <w:szCs w:val="28"/>
          <w14:textFill>
            <w14:solidFill>
              <w14:schemeClr w14:val="tx1"/>
            </w14:solidFill>
          </w14:textFill>
        </w:rPr>
        <w:t>不良执业信息，主要包括下列内容，具体详见本手册附件《协会机构会员不良执业行为自律评价指标体系》《协会个人会员不良执业行为自律评价指标体系》。</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 违法犯罪，</w:t>
      </w:r>
      <w:r>
        <w:rPr>
          <w:rFonts w:hint="eastAsia" w:ascii="仿宋" w:hAnsi="仿宋" w:eastAsia="仿宋" w:cs="仿宋"/>
          <w:color w:val="000000" w:themeColor="text1"/>
          <w:sz w:val="28"/>
          <w:szCs w:val="28"/>
          <w:lang w:val="en-US" w:eastAsia="zh-CN"/>
          <w14:textFill>
            <w14:solidFill>
              <w14:schemeClr w14:val="tx1"/>
            </w14:solidFill>
          </w14:textFill>
        </w:rPr>
        <w:t>且</w:t>
      </w:r>
      <w:r>
        <w:rPr>
          <w:rFonts w:hint="eastAsia" w:ascii="仿宋" w:hAnsi="仿宋" w:eastAsia="仿宋" w:cs="仿宋"/>
          <w:color w:val="000000" w:themeColor="text1"/>
          <w:sz w:val="28"/>
          <w:szCs w:val="28"/>
          <w14:textFill>
            <w14:solidFill>
              <w14:schemeClr w14:val="tx1"/>
            </w14:solidFill>
          </w14:textFill>
        </w:rPr>
        <w:t>被追究</w:t>
      </w:r>
      <w:r>
        <w:rPr>
          <w:rFonts w:hint="eastAsia" w:ascii="仿宋" w:hAnsi="仿宋" w:eastAsia="仿宋" w:cs="仿宋"/>
          <w:color w:val="000000" w:themeColor="text1"/>
          <w:sz w:val="28"/>
          <w:szCs w:val="28"/>
          <w:lang w:val="en-US" w:eastAsia="zh-CN"/>
          <w14:textFill>
            <w14:solidFill>
              <w14:schemeClr w14:val="tx1"/>
            </w14:solidFill>
          </w14:textFill>
        </w:rPr>
        <w:t>相应</w:t>
      </w:r>
      <w:r>
        <w:rPr>
          <w:rFonts w:hint="eastAsia" w:ascii="仿宋" w:hAnsi="仿宋" w:eastAsia="仿宋" w:cs="仿宋"/>
          <w:color w:val="000000" w:themeColor="text1"/>
          <w:sz w:val="28"/>
          <w:szCs w:val="28"/>
          <w14:textFill>
            <w14:solidFill>
              <w14:schemeClr w14:val="tx1"/>
            </w14:solidFill>
          </w14:textFill>
        </w:rPr>
        <w:t>法律责任</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或</w:t>
      </w:r>
      <w:r>
        <w:rPr>
          <w:rFonts w:hint="eastAsia" w:ascii="仿宋" w:hAnsi="仿宋" w:eastAsia="仿宋" w:cs="仿宋"/>
          <w:color w:val="000000" w:themeColor="text1"/>
          <w:sz w:val="28"/>
          <w:szCs w:val="28"/>
          <w:lang w:val="en-US" w:eastAsia="zh-CN"/>
          <w14:textFill>
            <w14:solidFill>
              <w14:schemeClr w14:val="tx1"/>
            </w14:solidFill>
          </w14:textFill>
        </w:rPr>
        <w:t>被</w:t>
      </w:r>
      <w:r>
        <w:rPr>
          <w:rFonts w:hint="eastAsia" w:ascii="仿宋" w:hAnsi="仿宋" w:eastAsia="仿宋" w:cs="仿宋"/>
          <w:color w:val="000000" w:themeColor="text1"/>
          <w:sz w:val="28"/>
          <w:szCs w:val="28"/>
          <w14:textFill>
            <w14:solidFill>
              <w14:schemeClr w14:val="tx1"/>
            </w14:solidFill>
          </w14:textFill>
        </w:rPr>
        <w:t>判刑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违法处罚</w:t>
      </w:r>
      <w:r>
        <w:rPr>
          <w:rFonts w:hint="eastAsia" w:ascii="仿宋" w:hAnsi="仿宋" w:eastAsia="仿宋" w:cs="仿宋"/>
          <w:color w:val="000000" w:themeColor="text1"/>
          <w:sz w:val="28"/>
          <w:szCs w:val="28"/>
          <w14:textFill>
            <w14:solidFill>
              <w14:schemeClr w14:val="tx1"/>
            </w14:solidFill>
          </w14:textFill>
        </w:rPr>
        <w:t>等信息；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 经</w:t>
      </w:r>
      <w:r>
        <w:rPr>
          <w:rFonts w:hint="eastAsia" w:ascii="仿宋" w:hAnsi="仿宋" w:eastAsia="仿宋" w:cs="仿宋"/>
          <w:color w:val="000000" w:themeColor="text1"/>
          <w:sz w:val="28"/>
          <w:szCs w:val="28"/>
          <w:lang w:val="en-US" w:eastAsia="zh-CN"/>
          <w14:textFill>
            <w14:solidFill>
              <w14:schemeClr w14:val="tx1"/>
            </w14:solidFill>
          </w14:textFill>
        </w:rPr>
        <w:t>设区市及以上</w:t>
      </w:r>
      <w:r>
        <w:rPr>
          <w:rFonts w:hint="eastAsia" w:ascii="仿宋" w:hAnsi="仿宋" w:eastAsia="仿宋" w:cs="仿宋"/>
          <w:color w:val="000000" w:themeColor="text1"/>
          <w:sz w:val="28"/>
          <w:szCs w:val="28"/>
          <w14:textFill>
            <w14:solidFill>
              <w14:schemeClr w14:val="tx1"/>
            </w14:solidFill>
          </w14:textFill>
        </w:rPr>
        <w:t>住建、房管行政主管部门查证属实的信访投诉、媒体反映违规行为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或其他引发负面舆情或社稳事件的</w:t>
      </w:r>
      <w:r>
        <w:rPr>
          <w:rFonts w:hint="eastAsia" w:ascii="仿宋" w:hAnsi="仿宋" w:eastAsia="仿宋" w:cs="仿宋"/>
          <w:color w:val="000000" w:themeColor="text1"/>
          <w:sz w:val="28"/>
          <w:szCs w:val="28"/>
          <w14:textFill>
            <w14:solidFill>
              <w14:schemeClr w14:val="tx1"/>
            </w14:solidFill>
          </w14:textFill>
        </w:rPr>
        <w:t>信息；</w:t>
      </w:r>
    </w:p>
    <w:p>
      <w:pPr>
        <w:spacing w:line="360" w:lineRule="auto"/>
        <w:ind w:right="-92" w:rightChars="-44"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 设区市</w:t>
      </w:r>
      <w:r>
        <w:rPr>
          <w:rFonts w:hint="eastAsia" w:ascii="仿宋" w:hAnsi="仿宋" w:eastAsia="仿宋" w:cs="仿宋"/>
          <w:color w:val="000000" w:themeColor="text1"/>
          <w:sz w:val="28"/>
          <w:szCs w:val="28"/>
          <w:lang w:val="en-US" w:eastAsia="zh-CN"/>
          <w14:textFill>
            <w14:solidFill>
              <w14:schemeClr w14:val="tx1"/>
            </w14:solidFill>
          </w14:textFill>
        </w:rPr>
        <w:t>及以上</w:t>
      </w:r>
      <w:r>
        <w:rPr>
          <w:rFonts w:hint="eastAsia" w:ascii="仿宋" w:hAnsi="仿宋" w:eastAsia="仿宋" w:cs="仿宋"/>
          <w:color w:val="000000" w:themeColor="text1"/>
          <w:sz w:val="28"/>
          <w:szCs w:val="28"/>
          <w14:textFill>
            <w14:solidFill>
              <w14:schemeClr w14:val="tx1"/>
            </w14:solidFill>
          </w14:textFill>
        </w:rPr>
        <w:t>住建、房管行政主管部门日常巡查和监督检查，或司法、审计、财政、证券等行政管理部门所公布的违法、违规行为信息或通报批评等；</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 设区市</w:t>
      </w:r>
      <w:r>
        <w:rPr>
          <w:rFonts w:hint="eastAsia" w:ascii="仿宋" w:hAnsi="仿宋" w:eastAsia="仿宋" w:cs="仿宋"/>
          <w:color w:val="000000" w:themeColor="text1"/>
          <w:sz w:val="28"/>
          <w:szCs w:val="28"/>
          <w:lang w:val="en-US" w:eastAsia="zh-CN"/>
          <w14:textFill>
            <w14:solidFill>
              <w14:schemeClr w14:val="tx1"/>
            </w14:solidFill>
          </w14:textFill>
        </w:rPr>
        <w:t>及以上</w:t>
      </w:r>
      <w:r>
        <w:rPr>
          <w:rFonts w:hint="eastAsia" w:ascii="仿宋" w:hAnsi="仿宋" w:eastAsia="仿宋" w:cs="仿宋"/>
          <w:color w:val="000000" w:themeColor="text1"/>
          <w:sz w:val="28"/>
          <w:szCs w:val="28"/>
          <w14:textFill>
            <w14:solidFill>
              <w14:schemeClr w14:val="tx1"/>
            </w14:solidFill>
          </w14:textFill>
        </w:rPr>
        <w:t>住建、房管行政主管部门下达的责令限期整改通知书、行政处罚决定书等信息；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(五) 全国、省、市协会在行业自律</w:t>
      </w:r>
      <w:r>
        <w:rPr>
          <w:rFonts w:hint="eastAsia" w:ascii="仿宋" w:hAnsi="仿宋" w:eastAsia="仿宋" w:cs="仿宋"/>
          <w:color w:val="000000" w:themeColor="text1"/>
          <w:sz w:val="28"/>
          <w:szCs w:val="28"/>
          <w:lang w:val="en-US" w:eastAsia="zh-CN"/>
          <w14:textFill>
            <w14:solidFill>
              <w14:schemeClr w14:val="tx1"/>
            </w14:solidFill>
          </w14:textFill>
        </w:rPr>
        <w:t>管理</w:t>
      </w:r>
      <w:r>
        <w:rPr>
          <w:rFonts w:hint="eastAsia" w:ascii="仿宋" w:hAnsi="仿宋" w:eastAsia="仿宋" w:cs="仿宋"/>
          <w:color w:val="000000" w:themeColor="text1"/>
          <w:sz w:val="28"/>
          <w:szCs w:val="28"/>
          <w14:textFill>
            <w14:solidFill>
              <w14:schemeClr w14:val="tx1"/>
            </w14:solidFill>
          </w14:textFill>
        </w:rPr>
        <w:t>活动中评判</w:t>
      </w:r>
      <w:r>
        <w:rPr>
          <w:rFonts w:hint="eastAsia" w:ascii="仿宋" w:hAnsi="仿宋" w:eastAsia="仿宋" w:cs="仿宋"/>
          <w:color w:val="000000" w:themeColor="text1"/>
          <w:sz w:val="28"/>
          <w:szCs w:val="28"/>
          <w:lang w:val="en-US" w:eastAsia="zh-CN"/>
          <w14:textFill>
            <w14:solidFill>
              <w14:schemeClr w14:val="tx1"/>
            </w14:solidFill>
          </w14:textFill>
        </w:rPr>
        <w:t>所</w:t>
      </w:r>
      <w:r>
        <w:rPr>
          <w:rFonts w:hint="eastAsia" w:ascii="仿宋" w:hAnsi="仿宋" w:eastAsia="仿宋" w:cs="仿宋"/>
          <w:color w:val="000000" w:themeColor="text1"/>
          <w:sz w:val="28"/>
          <w:szCs w:val="28"/>
          <w14:textFill>
            <w14:solidFill>
              <w14:schemeClr w14:val="tx1"/>
            </w14:solidFill>
          </w14:textFill>
        </w:rPr>
        <w:t>认定的</w:t>
      </w:r>
      <w:r>
        <w:rPr>
          <w:rFonts w:hint="eastAsia" w:ascii="仿宋" w:hAnsi="仿宋" w:eastAsia="仿宋" w:cs="仿宋"/>
          <w:color w:val="000000" w:themeColor="text1"/>
          <w:sz w:val="28"/>
          <w:szCs w:val="28"/>
          <w:lang w:val="en-US" w:eastAsia="zh-CN"/>
          <w14:textFill>
            <w14:solidFill>
              <w14:schemeClr w14:val="tx1"/>
            </w14:solidFill>
          </w14:textFill>
        </w:rPr>
        <w:t>应奖罚的</w:t>
      </w:r>
      <w:r>
        <w:rPr>
          <w:rFonts w:hint="eastAsia" w:ascii="仿宋" w:hAnsi="仿宋" w:eastAsia="仿宋" w:cs="仿宋"/>
          <w:color w:val="000000" w:themeColor="text1"/>
          <w:sz w:val="28"/>
          <w:szCs w:val="28"/>
          <w14:textFill>
            <w14:solidFill>
              <w14:schemeClr w14:val="tx1"/>
            </w14:solidFill>
          </w14:textFill>
        </w:rPr>
        <w:t>信息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（六）其他被设区市</w:t>
      </w:r>
      <w:r>
        <w:rPr>
          <w:rFonts w:hint="eastAsia" w:ascii="仿宋" w:hAnsi="仿宋" w:eastAsia="仿宋" w:cs="仿宋"/>
          <w:color w:val="000000" w:themeColor="text1"/>
          <w:sz w:val="28"/>
          <w:szCs w:val="28"/>
          <w:lang w:val="en-US" w:eastAsia="zh-CN"/>
          <w14:textFill>
            <w14:solidFill>
              <w14:schemeClr w14:val="tx1"/>
            </w14:solidFill>
          </w14:textFill>
        </w:rPr>
        <w:t>及以上</w:t>
      </w:r>
      <w:r>
        <w:rPr>
          <w:rFonts w:hint="eastAsia" w:ascii="仿宋" w:hAnsi="仿宋" w:eastAsia="仿宋" w:cs="仿宋"/>
          <w:color w:val="000000" w:themeColor="text1"/>
          <w:sz w:val="28"/>
          <w:szCs w:val="28"/>
          <w14:textFill>
            <w14:solidFill>
              <w14:schemeClr w14:val="tx1"/>
            </w14:solidFill>
          </w14:textFill>
        </w:rPr>
        <w:t>政府处罚的</w:t>
      </w:r>
      <w:r>
        <w:rPr>
          <w:rFonts w:hint="eastAsia" w:ascii="仿宋" w:hAnsi="仿宋" w:eastAsia="仿宋" w:cs="仿宋"/>
          <w:color w:val="000000" w:themeColor="text1"/>
          <w:sz w:val="28"/>
          <w:szCs w:val="28"/>
          <w:lang w:val="en-US" w:eastAsia="zh-CN"/>
          <w14:textFill>
            <w14:solidFill>
              <w14:schemeClr w14:val="tx1"/>
            </w14:solidFill>
          </w14:textFill>
        </w:rPr>
        <w:t>估价</w:t>
      </w:r>
      <w:r>
        <w:rPr>
          <w:rFonts w:hint="eastAsia" w:ascii="仿宋" w:hAnsi="仿宋" w:eastAsia="仿宋" w:cs="仿宋"/>
          <w:color w:val="000000" w:themeColor="text1"/>
          <w:sz w:val="28"/>
          <w:szCs w:val="28"/>
          <w14:textFill>
            <w14:solidFill>
              <w14:schemeClr w14:val="tx1"/>
            </w14:solidFill>
          </w14:textFill>
        </w:rPr>
        <w:t>不良执业信息。</w:t>
      </w:r>
    </w:p>
    <w:p>
      <w:pPr>
        <w:spacing w:before="156" w:beforeLines="50" w:after="156" w:afterLines="50" w:line="360" w:lineRule="auto"/>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第三章 自律信息采集</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w:t>
      </w:r>
      <w:r>
        <w:rPr>
          <w:rFonts w:hint="eastAsia" w:ascii="黑体" w:hAnsi="黑体" w:eastAsia="黑体" w:cs="黑体"/>
          <w:b/>
          <w:bCs/>
          <w:color w:val="000000" w:themeColor="text1"/>
          <w:sz w:val="28"/>
          <w:szCs w:val="28"/>
          <w:lang w:val="en-US" w:eastAsia="zh-CN"/>
          <w14:textFill>
            <w14:solidFill>
              <w14:schemeClr w14:val="tx1"/>
            </w14:solidFill>
          </w14:textFill>
        </w:rPr>
        <w:t>九</w:t>
      </w:r>
      <w:r>
        <w:rPr>
          <w:rFonts w:hint="eastAsia" w:ascii="黑体" w:hAnsi="黑体" w:eastAsia="黑体" w:cs="黑体"/>
          <w:b/>
          <w:bCs/>
          <w:color w:val="000000" w:themeColor="text1"/>
          <w:sz w:val="28"/>
          <w:szCs w:val="28"/>
          <w14:textFill>
            <w14:solidFill>
              <w14:schemeClr w14:val="tx1"/>
            </w14:solidFill>
          </w14:textFill>
        </w:rPr>
        <w:t xml:space="preserve">条 </w:t>
      </w:r>
      <w:r>
        <w:rPr>
          <w:rFonts w:hint="eastAsia" w:ascii="仿宋" w:hAnsi="仿宋" w:eastAsia="仿宋" w:cs="仿宋"/>
          <w:color w:val="000000" w:themeColor="text1"/>
          <w:sz w:val="28"/>
          <w:szCs w:val="28"/>
          <w14:textFill>
            <w14:solidFill>
              <w14:schemeClr w14:val="tx1"/>
            </w14:solidFill>
          </w14:textFill>
        </w:rPr>
        <w:t>自律信息的采集坚持“谁提供，谁负责；谁采集，谁负责”的原则。</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自律信息采用机构申报和省、市房协</w:t>
      </w:r>
      <w:r>
        <w:rPr>
          <w:rFonts w:hint="eastAsia" w:ascii="仿宋" w:hAnsi="仿宋" w:eastAsia="仿宋" w:cs="仿宋"/>
          <w:color w:val="000000" w:themeColor="text1"/>
          <w:sz w:val="28"/>
          <w:szCs w:val="28"/>
          <w:lang w:val="en-US" w:eastAsia="zh-CN"/>
          <w14:textFill>
            <w14:solidFill>
              <w14:schemeClr w14:val="tx1"/>
            </w14:solidFill>
          </w14:textFill>
        </w:rPr>
        <w:t>主动</w:t>
      </w:r>
      <w:r>
        <w:rPr>
          <w:rFonts w:hint="eastAsia" w:ascii="仿宋" w:hAnsi="仿宋" w:eastAsia="仿宋" w:cs="仿宋"/>
          <w:color w:val="000000" w:themeColor="text1"/>
          <w:sz w:val="28"/>
          <w:szCs w:val="28"/>
          <w14:textFill>
            <w14:solidFill>
              <w14:schemeClr w14:val="tx1"/>
            </w14:solidFill>
          </w14:textFill>
        </w:rPr>
        <w:t>采集相结合的方式。</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第十条</w:t>
      </w:r>
      <w:r>
        <w:rPr>
          <w:rFonts w:hint="eastAsia" w:ascii="仿宋" w:hAnsi="仿宋" w:eastAsia="仿宋" w:cs="仿宋"/>
          <w:color w:val="000000" w:themeColor="text1"/>
          <w:sz w:val="28"/>
          <w:szCs w:val="28"/>
          <w14:textFill>
            <w14:solidFill>
              <w14:schemeClr w14:val="tx1"/>
            </w14:solidFill>
          </w14:textFill>
        </w:rPr>
        <w:t xml:space="preserve"> 已提供和申报的自律信息发生变更或者失效的，自律信息的提供人和申报人应当在自律信息变更或者失效之日起5个工作日内重新提供。</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第十一条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估价机构在本省开展房地产估价活动过程中受到相应行政通报表扬的，由估价机构在知道或者应当知道之日起15个工作日内</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持通报表扬文件或者其他相关材料，主动向</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协会申报。估价机构应申报而未申报的奖励信息，</w:t>
      </w:r>
      <w:r>
        <w:rPr>
          <w:rFonts w:hint="eastAsia" w:ascii="仿宋" w:hAnsi="仿宋" w:eastAsia="仿宋" w:cs="仿宋"/>
          <w:color w:val="000000" w:themeColor="text1"/>
          <w:sz w:val="28"/>
          <w:szCs w:val="28"/>
          <w:lang w:val="en-US" w:eastAsia="zh-CN"/>
          <w14:textFill>
            <w14:solidFill>
              <w14:schemeClr w14:val="tx1"/>
            </w14:solidFill>
          </w14:textFill>
        </w:rPr>
        <w:t>原则上</w:t>
      </w:r>
      <w:r>
        <w:rPr>
          <w:rFonts w:hint="eastAsia" w:ascii="仿宋" w:hAnsi="仿宋" w:eastAsia="仿宋" w:cs="仿宋"/>
          <w:color w:val="000000" w:themeColor="text1"/>
          <w:sz w:val="28"/>
          <w:szCs w:val="28"/>
          <w14:textFill>
            <w14:solidFill>
              <w14:schemeClr w14:val="tx1"/>
            </w14:solidFill>
          </w14:textFill>
        </w:rPr>
        <w:t>不予纳入自律评价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延后申报的信息仍按事项奖励公布时间起算，不因后申报延长其时效</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第十二条</w:t>
      </w:r>
      <w:r>
        <w:rPr>
          <w:rFonts w:hint="eastAsia" w:ascii="仿宋" w:hAnsi="仿宋" w:eastAsia="仿宋" w:cs="仿宋"/>
          <w:color w:val="000000" w:themeColor="text1"/>
          <w:sz w:val="28"/>
          <w:szCs w:val="28"/>
          <w14:textFill>
            <w14:solidFill>
              <w14:schemeClr w14:val="tx1"/>
            </w14:solidFill>
          </w14:textFill>
        </w:rPr>
        <w:t xml:space="preserve"> 估价机构及从业人员在本省开展房地产估价活动过程中受到行政通报批评、行政处罚、被追究刑事责任的，由估价机构在知道或者应当知道之日起15个工作日内持相关处理文件或者其他相关材料，主动向</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协会申报、登记。估价机构应申报而未申报的，</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协会根据采集的相关信息在书面告知后，纳入自律评价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其时效也按事项处罚公布时间或生效时间起算扣分评价开始时间，二者不一致时以最前的时点为准；归零时效开始计时应按处罚结束之日起算</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第十三条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坚持公平、公正、公开地进行行业自律管理，全体协会工作人员和任职人员均应接受行业、公众的监督，并对发布的信息负责，对出具的文件负责。省、市房协在采集不良执业信息时，应书面或电子邮件通知估价机构。</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第十四条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对拟采集的不良执业信息有异议的，应在收到书面告知函之日起5个工作日内，向</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协会提出异议申请，并提供相关证据。</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协会应在受理异议申请之日起5个工作日内组织核查，并将核查结果书面通知申请人。拟采集的不良执业信息经核查确实有误的，应予以撤销或纠正。</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第十五条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未在规定期限内提出异议或经核查认定异议不成立的，已被采集的不良执业信息自然生效。</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第十六条</w:t>
      </w:r>
      <w:r>
        <w:rPr>
          <w:rFonts w:hint="eastAsia" w:ascii="仿宋" w:hAnsi="仿宋" w:eastAsia="仿宋" w:cs="仿宋"/>
          <w:color w:val="000000" w:themeColor="text1"/>
          <w:sz w:val="28"/>
          <w:szCs w:val="28"/>
          <w14:textFill>
            <w14:solidFill>
              <w14:schemeClr w14:val="tx1"/>
            </w14:solidFill>
          </w14:textFill>
        </w:rPr>
        <w:t xml:space="preserve"> 对已下达限期整改通知书或做出行政处罚决定书有异议的，</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可按照相关规定申请行政复议或提起行政诉讼。因限期整改通知书或行政处罚决定调整而导致不良执业信息变更的，</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协会按照本自律手册</w:t>
      </w:r>
      <w:r>
        <w:rPr>
          <w:rFonts w:hint="eastAsia" w:ascii="仿宋" w:hAnsi="仿宋" w:eastAsia="仿宋" w:cs="仿宋"/>
          <w:color w:val="000000" w:themeColor="text1"/>
          <w:sz w:val="28"/>
          <w:szCs w:val="28"/>
          <w:lang w:val="en-US" w:eastAsia="zh-CN"/>
          <w14:textFill>
            <w14:solidFill>
              <w14:schemeClr w14:val="tx1"/>
            </w14:solidFill>
          </w14:textFill>
        </w:rPr>
        <w:t>规定</w:t>
      </w:r>
      <w:r>
        <w:rPr>
          <w:rFonts w:hint="eastAsia" w:ascii="仿宋" w:hAnsi="仿宋" w:eastAsia="仿宋" w:cs="仿宋"/>
          <w:color w:val="000000" w:themeColor="text1"/>
          <w:sz w:val="28"/>
          <w:szCs w:val="28"/>
          <w14:textFill>
            <w14:solidFill>
              <w14:schemeClr w14:val="tx1"/>
            </w14:solidFill>
          </w14:textFill>
        </w:rPr>
        <w:t>予以撤销或纠正。</w:t>
      </w:r>
    </w:p>
    <w:p>
      <w:pPr>
        <w:spacing w:before="156" w:beforeLines="50" w:after="156" w:afterLines="50" w:line="360" w:lineRule="auto"/>
        <w:jc w:val="center"/>
        <w:rPr>
          <w:rFonts w:hint="default"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第四章 自律得分修复机制</w:t>
      </w:r>
    </w:p>
    <w:p>
      <w:pPr>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第十七条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实行</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执业</w:t>
      </w:r>
      <w:r>
        <w:rPr>
          <w:rFonts w:hint="eastAsia" w:ascii="仿宋" w:hAnsi="仿宋" w:eastAsia="仿宋" w:cs="仿宋"/>
          <w:color w:val="000000" w:themeColor="text1"/>
          <w:sz w:val="28"/>
          <w:szCs w:val="28"/>
          <w:lang w:val="en-US" w:eastAsia="zh-CN"/>
          <w14:textFill>
            <w14:solidFill>
              <w14:schemeClr w14:val="tx1"/>
            </w14:solidFill>
          </w14:textFill>
        </w:rPr>
        <w:t>自律</w:t>
      </w:r>
      <w:r>
        <w:rPr>
          <w:rFonts w:hint="eastAsia" w:ascii="仿宋" w:hAnsi="仿宋" w:eastAsia="仿宋" w:cs="仿宋"/>
          <w:color w:val="000000" w:themeColor="text1"/>
          <w:sz w:val="28"/>
          <w:szCs w:val="28"/>
          <w14:textFill>
            <w14:solidFill>
              <w14:schemeClr w14:val="tx1"/>
            </w14:solidFill>
          </w14:textFill>
        </w:rPr>
        <w:t>奖罚</w:t>
      </w:r>
      <w:r>
        <w:rPr>
          <w:rFonts w:hint="eastAsia" w:ascii="仿宋" w:hAnsi="仿宋" w:eastAsia="仿宋" w:cs="仿宋"/>
          <w:color w:val="000000" w:themeColor="text1"/>
          <w:sz w:val="28"/>
          <w:szCs w:val="28"/>
          <w:lang w:val="en-US" w:eastAsia="zh-CN"/>
          <w14:textFill>
            <w14:solidFill>
              <w14:schemeClr w14:val="tx1"/>
            </w14:solidFill>
          </w14:textFill>
        </w:rPr>
        <w:t>得</w:t>
      </w:r>
      <w:r>
        <w:rPr>
          <w:rFonts w:hint="eastAsia" w:ascii="仿宋" w:hAnsi="仿宋" w:eastAsia="仿宋" w:cs="仿宋"/>
          <w:color w:val="000000" w:themeColor="text1"/>
          <w:sz w:val="28"/>
          <w:szCs w:val="28"/>
          <w14:textFill>
            <w14:solidFill>
              <w14:schemeClr w14:val="tx1"/>
            </w14:solidFill>
          </w14:textFill>
        </w:rPr>
        <w:t>分</w:t>
      </w:r>
      <w:r>
        <w:rPr>
          <w:rFonts w:hint="eastAsia" w:ascii="仿宋" w:hAnsi="仿宋" w:eastAsia="仿宋" w:cs="仿宋"/>
          <w:color w:val="000000" w:themeColor="text1"/>
          <w:sz w:val="28"/>
          <w:szCs w:val="28"/>
          <w:lang w:val="en-US" w:eastAsia="zh-CN"/>
          <w14:textFill>
            <w14:solidFill>
              <w14:schemeClr w14:val="tx1"/>
            </w14:solidFill>
          </w14:textFill>
        </w:rPr>
        <w:t>到期自动归零</w:t>
      </w:r>
      <w:r>
        <w:rPr>
          <w:rFonts w:hint="eastAsia" w:ascii="仿宋" w:hAnsi="仿宋" w:eastAsia="仿宋" w:cs="仿宋"/>
          <w:color w:val="000000" w:themeColor="text1"/>
          <w:sz w:val="28"/>
          <w:szCs w:val="28"/>
          <w14:textFill>
            <w14:solidFill>
              <w14:schemeClr w14:val="tx1"/>
            </w14:solidFill>
          </w14:textFill>
        </w:rPr>
        <w:t>修复制度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以此鼓励会员对扣分或被处罚的行为采取自救。处罚</w:t>
      </w:r>
      <w:r>
        <w:rPr>
          <w:rFonts w:hint="eastAsia" w:ascii="仿宋" w:hAnsi="仿宋" w:eastAsia="仿宋" w:cs="仿宋"/>
          <w:color w:val="000000" w:themeColor="text1"/>
          <w:sz w:val="28"/>
          <w:szCs w:val="28"/>
          <w14:textFill>
            <w14:solidFill>
              <w14:schemeClr w14:val="tx1"/>
            </w14:solidFill>
          </w14:textFill>
        </w:rPr>
        <w:t>自律评价</w:t>
      </w:r>
      <w:r>
        <w:rPr>
          <w:rFonts w:hint="eastAsia" w:ascii="仿宋" w:hAnsi="仿宋" w:eastAsia="仿宋" w:cs="仿宋"/>
          <w:color w:val="000000" w:themeColor="text1"/>
          <w:sz w:val="28"/>
          <w:szCs w:val="28"/>
          <w:lang w:val="en-US" w:eastAsia="zh-CN"/>
          <w14:textFill>
            <w14:solidFill>
              <w14:schemeClr w14:val="tx1"/>
            </w14:solidFill>
          </w14:textFill>
        </w:rPr>
        <w:t>扣分</w:t>
      </w:r>
      <w:r>
        <w:rPr>
          <w:rFonts w:hint="eastAsia" w:ascii="仿宋" w:hAnsi="仿宋" w:eastAsia="仿宋" w:cs="仿宋"/>
          <w:color w:val="000000" w:themeColor="text1"/>
          <w:sz w:val="28"/>
          <w:szCs w:val="28"/>
          <w14:textFill>
            <w14:solidFill>
              <w14:schemeClr w14:val="tx1"/>
            </w14:solidFill>
          </w14:textFill>
        </w:rPr>
        <w:t>生效后，对尚未造成实际损失和危害后果的轻微违规行为，允许估价机构及从业人员通过主动纠正不良执业行为、消除不良社会影响等方式对不良执业行为进行修复。并由</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向</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协会申报，并提交自律</w:t>
      </w:r>
      <w:r>
        <w:rPr>
          <w:rFonts w:hint="eastAsia" w:ascii="仿宋" w:hAnsi="仿宋" w:eastAsia="仿宋" w:cs="仿宋"/>
          <w:color w:val="000000" w:themeColor="text1"/>
          <w:sz w:val="28"/>
          <w:szCs w:val="28"/>
          <w:lang w:val="en-US" w:eastAsia="zh-CN"/>
          <w14:textFill>
            <w14:solidFill>
              <w14:schemeClr w14:val="tx1"/>
            </w14:solidFill>
          </w14:textFill>
        </w:rPr>
        <w:t>得分</w:t>
      </w:r>
      <w:r>
        <w:rPr>
          <w:rFonts w:hint="eastAsia" w:ascii="仿宋" w:hAnsi="仿宋" w:eastAsia="仿宋" w:cs="仿宋"/>
          <w:color w:val="000000" w:themeColor="text1"/>
          <w:sz w:val="28"/>
          <w:szCs w:val="28"/>
          <w14:textFill>
            <w14:solidFill>
              <w14:schemeClr w14:val="tx1"/>
            </w14:solidFill>
          </w14:textFill>
        </w:rPr>
        <w:t>修复申请书及整改情况说明。</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第十八条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协会在受理</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申请之日起15个工作内作出</w:t>
      </w:r>
      <w:r>
        <w:rPr>
          <w:rFonts w:hint="eastAsia" w:ascii="仿宋" w:hAnsi="仿宋" w:eastAsia="仿宋" w:cs="仿宋"/>
          <w:color w:val="000000" w:themeColor="text1"/>
          <w:sz w:val="28"/>
          <w:szCs w:val="28"/>
          <w:lang w:val="en-US" w:eastAsia="zh-CN"/>
          <w14:textFill>
            <w14:solidFill>
              <w14:schemeClr w14:val="tx1"/>
            </w14:solidFill>
          </w14:textFill>
        </w:rPr>
        <w:t>处置</w:t>
      </w:r>
      <w:r>
        <w:rPr>
          <w:rFonts w:hint="eastAsia" w:ascii="仿宋" w:hAnsi="仿宋" w:eastAsia="仿宋" w:cs="仿宋"/>
          <w:color w:val="000000" w:themeColor="text1"/>
          <w:sz w:val="28"/>
          <w:szCs w:val="28"/>
          <w14:textFill>
            <w14:solidFill>
              <w14:schemeClr w14:val="tx1"/>
            </w14:solidFill>
          </w14:textFill>
        </w:rPr>
        <w:t>意见，并将</w:t>
      </w:r>
      <w:r>
        <w:rPr>
          <w:rFonts w:hint="eastAsia" w:ascii="仿宋" w:hAnsi="仿宋" w:eastAsia="仿宋" w:cs="仿宋"/>
          <w:color w:val="000000" w:themeColor="text1"/>
          <w:sz w:val="28"/>
          <w:szCs w:val="28"/>
          <w:lang w:val="en-US" w:eastAsia="zh-CN"/>
          <w14:textFill>
            <w14:solidFill>
              <w14:schemeClr w14:val="tx1"/>
            </w14:solidFill>
          </w14:textFill>
        </w:rPr>
        <w:t>处置的</w:t>
      </w:r>
      <w:r>
        <w:rPr>
          <w:rFonts w:hint="eastAsia" w:ascii="仿宋" w:hAnsi="仿宋" w:eastAsia="仿宋" w:cs="仿宋"/>
          <w:color w:val="000000" w:themeColor="text1"/>
          <w:sz w:val="28"/>
          <w:szCs w:val="28"/>
          <w14:textFill>
            <w14:solidFill>
              <w14:schemeClr w14:val="tx1"/>
            </w14:solidFill>
          </w14:textFill>
        </w:rPr>
        <w:t>意见书面通知申请人。</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第十九条</w:t>
      </w:r>
      <w:r>
        <w:rPr>
          <w:rFonts w:hint="eastAsia" w:ascii="仿宋" w:hAnsi="仿宋" w:eastAsia="仿宋" w:cs="仿宋"/>
          <w:color w:val="000000" w:themeColor="text1"/>
          <w:sz w:val="28"/>
          <w:szCs w:val="28"/>
          <w14:textFill>
            <w14:solidFill>
              <w14:schemeClr w14:val="tx1"/>
            </w14:solidFill>
          </w14:textFill>
        </w:rPr>
        <w:t xml:space="preserve"> 符合</w:t>
      </w:r>
      <w:r>
        <w:rPr>
          <w:rFonts w:hint="eastAsia" w:ascii="仿宋" w:hAnsi="仿宋" w:eastAsia="仿宋" w:cs="仿宋"/>
          <w:color w:val="000000" w:themeColor="text1"/>
          <w:sz w:val="28"/>
          <w:szCs w:val="28"/>
          <w:lang w:val="en-US" w:eastAsia="zh-CN"/>
          <w14:textFill>
            <w14:solidFill>
              <w14:schemeClr w14:val="tx1"/>
            </w14:solidFill>
          </w14:textFill>
        </w:rPr>
        <w:t>单项</w:t>
      </w:r>
      <w:r>
        <w:rPr>
          <w:rFonts w:hint="eastAsia" w:ascii="仿宋" w:hAnsi="仿宋" w:eastAsia="仿宋" w:cs="仿宋"/>
          <w:color w:val="000000" w:themeColor="text1"/>
          <w:sz w:val="28"/>
          <w:szCs w:val="28"/>
          <w14:textFill>
            <w14:solidFill>
              <w14:schemeClr w14:val="tx1"/>
            </w14:solidFill>
          </w14:textFill>
        </w:rPr>
        <w:t>自律</w:t>
      </w:r>
      <w:r>
        <w:rPr>
          <w:rFonts w:hint="eastAsia" w:ascii="仿宋" w:hAnsi="仿宋" w:eastAsia="仿宋" w:cs="仿宋"/>
          <w:color w:val="000000" w:themeColor="text1"/>
          <w:sz w:val="28"/>
          <w:szCs w:val="28"/>
          <w:lang w:val="en-US" w:eastAsia="zh-CN"/>
          <w14:textFill>
            <w14:solidFill>
              <w14:schemeClr w14:val="tx1"/>
            </w14:solidFill>
          </w14:textFill>
        </w:rPr>
        <w:t>得分</w:t>
      </w:r>
      <w:r>
        <w:rPr>
          <w:rFonts w:hint="eastAsia" w:ascii="仿宋" w:hAnsi="仿宋" w:eastAsia="仿宋" w:cs="仿宋"/>
          <w:color w:val="000000" w:themeColor="text1"/>
          <w:sz w:val="28"/>
          <w:szCs w:val="28"/>
          <w14:textFill>
            <w14:solidFill>
              <w14:schemeClr w14:val="tx1"/>
            </w14:solidFill>
          </w14:textFill>
        </w:rPr>
        <w:t>修复规定的，按原记分标准核减50%记分或取消扣减自律分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具体详见本手册附件</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会员在</w:t>
      </w:r>
      <w:r>
        <w:rPr>
          <w:rFonts w:hint="eastAsia" w:ascii="仿宋" w:hAnsi="仿宋" w:eastAsia="仿宋" w:cs="仿宋"/>
          <w:color w:val="000000" w:themeColor="text1"/>
          <w:sz w:val="28"/>
          <w:szCs w:val="28"/>
          <w14:textFill>
            <w14:solidFill>
              <w14:schemeClr w14:val="tx1"/>
            </w14:solidFill>
          </w14:textFill>
        </w:rPr>
        <w:t>1个记分周期</w:t>
      </w:r>
      <w:r>
        <w:rPr>
          <w:rFonts w:hint="eastAsia" w:ascii="仿宋" w:hAnsi="仿宋" w:eastAsia="仿宋" w:cs="仿宋"/>
          <w:color w:val="000000" w:themeColor="text1"/>
          <w:sz w:val="28"/>
          <w:szCs w:val="28"/>
          <w:lang w:val="en-US" w:eastAsia="zh-CN"/>
          <w14:textFill>
            <w14:solidFill>
              <w14:schemeClr w14:val="tx1"/>
            </w14:solidFill>
          </w14:textFill>
        </w:rPr>
        <w:t>即事项发生后延续的一年</w:t>
      </w:r>
      <w:r>
        <w:rPr>
          <w:rFonts w:hint="eastAsia" w:ascii="仿宋" w:hAnsi="仿宋" w:eastAsia="仿宋" w:cs="仿宋"/>
          <w:color w:val="000000" w:themeColor="text1"/>
          <w:sz w:val="28"/>
          <w:szCs w:val="28"/>
          <w14:textFill>
            <w14:solidFill>
              <w14:schemeClr w14:val="tx1"/>
            </w14:solidFill>
          </w14:textFill>
        </w:rPr>
        <w:t>内</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只能对可修复不良执业</w:t>
      </w:r>
      <w:r>
        <w:rPr>
          <w:rFonts w:hint="eastAsia" w:ascii="仿宋" w:hAnsi="仿宋" w:eastAsia="仿宋" w:cs="仿宋"/>
          <w:color w:val="000000" w:themeColor="text1"/>
          <w:sz w:val="28"/>
          <w:szCs w:val="28"/>
          <w:lang w:val="en-US" w:eastAsia="zh-CN"/>
          <w14:textFill>
            <w14:solidFill>
              <w14:schemeClr w14:val="tx1"/>
            </w14:solidFill>
          </w14:textFill>
        </w:rPr>
        <w:t>得分</w:t>
      </w:r>
      <w:r>
        <w:rPr>
          <w:rFonts w:hint="eastAsia" w:ascii="仿宋" w:hAnsi="仿宋" w:eastAsia="仿宋" w:cs="仿宋"/>
          <w:color w:val="000000" w:themeColor="text1"/>
          <w:sz w:val="28"/>
          <w:szCs w:val="28"/>
          <w14:textFill>
            <w14:solidFill>
              <w14:schemeClr w14:val="tx1"/>
            </w14:solidFill>
          </w14:textFill>
        </w:rPr>
        <w:t>中同项记分标准修复1次</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且1个记分周期总修复次数不得超过3次 。</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第二十条</w:t>
      </w:r>
      <w:r>
        <w:rPr>
          <w:rFonts w:hint="eastAsia" w:ascii="仿宋" w:hAnsi="仿宋" w:eastAsia="仿宋" w:cs="仿宋"/>
          <w:color w:val="000000" w:themeColor="text1"/>
          <w:sz w:val="28"/>
          <w:szCs w:val="28"/>
          <w14:textFill>
            <w14:solidFill>
              <w14:schemeClr w14:val="tx1"/>
            </w14:solidFill>
          </w14:textFill>
        </w:rPr>
        <w:t xml:space="preserve"> 对已造成实际损失或存在严重不良影响及危害后果的重大不良执业违规行为，</w:t>
      </w:r>
      <w:r>
        <w:rPr>
          <w:rFonts w:hint="eastAsia" w:ascii="仿宋" w:hAnsi="仿宋" w:eastAsia="仿宋" w:cs="仿宋"/>
          <w:color w:val="000000" w:themeColor="text1"/>
          <w:sz w:val="28"/>
          <w:szCs w:val="28"/>
          <w:lang w:val="en-US" w:eastAsia="zh-CN"/>
          <w14:textFill>
            <w14:solidFill>
              <w14:schemeClr w14:val="tx1"/>
            </w14:solidFill>
          </w14:textFill>
        </w:rPr>
        <w:t>统一按3年的计分周期计罚</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第二十一条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未真实反映整改情况或提供虚假材料申请不良执业信息修复的，</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协会取消其修复后的自律记分，仍按原记分标准记分，且2年内不再受理该</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的不良执业信息修复申请。</w:t>
      </w:r>
    </w:p>
    <w:p>
      <w:pPr>
        <w:spacing w:before="156" w:beforeLines="50" w:after="156" w:afterLines="50" w:line="360" w:lineRule="auto"/>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第五章 自律信息的记分和使用</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第二十二条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基本信息实行登记制，长期公开。</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第二十三条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对会员</w:t>
      </w:r>
      <w:r>
        <w:rPr>
          <w:rFonts w:hint="eastAsia" w:ascii="仿宋" w:hAnsi="仿宋" w:eastAsia="仿宋" w:cs="仿宋"/>
          <w:color w:val="000000" w:themeColor="text1"/>
          <w:sz w:val="28"/>
          <w:szCs w:val="28"/>
          <w14:textFill>
            <w14:solidFill>
              <w14:schemeClr w14:val="tx1"/>
            </w14:solidFill>
          </w14:textFill>
        </w:rPr>
        <w:t>自律信息管理实行“警示名单”制度，并</w:t>
      </w:r>
      <w:r>
        <w:rPr>
          <w:rFonts w:hint="eastAsia" w:ascii="仿宋" w:hAnsi="仿宋" w:eastAsia="仿宋" w:cs="仿宋"/>
          <w:color w:val="000000" w:themeColor="text1"/>
          <w:sz w:val="28"/>
          <w:szCs w:val="28"/>
          <w:lang w:val="en-US" w:eastAsia="zh-CN"/>
          <w14:textFill>
            <w14:solidFill>
              <w14:schemeClr w14:val="tx1"/>
            </w14:solidFill>
          </w14:textFill>
        </w:rPr>
        <w:t>按本手册规定</w:t>
      </w:r>
      <w:r>
        <w:rPr>
          <w:rFonts w:hint="eastAsia" w:ascii="仿宋" w:hAnsi="仿宋" w:eastAsia="仿宋" w:cs="仿宋"/>
          <w:color w:val="000000" w:themeColor="text1"/>
          <w:sz w:val="28"/>
          <w:szCs w:val="28"/>
          <w14:textFill>
            <w14:solidFill>
              <w14:schemeClr w14:val="tx1"/>
            </w14:solidFill>
          </w14:textFill>
        </w:rPr>
        <w:t>定期予以公示。</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第二十四条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优秀执业行为和不良执业行为对应的执业信息登记，按自律评价指标体系实行累计记分制。优秀执业信息按照设定不同分值加分，不良执业信息按照设定不同分值减分。两</w:t>
      </w:r>
      <w:r>
        <w:rPr>
          <w:rFonts w:hint="eastAsia" w:ascii="仿宋" w:hAnsi="仿宋" w:eastAsia="仿宋" w:cs="仿宋"/>
          <w:color w:val="000000" w:themeColor="text1"/>
          <w:sz w:val="28"/>
          <w:szCs w:val="28"/>
          <w:lang w:val="en-US" w:eastAsia="zh-CN"/>
          <w14:textFill>
            <w14:solidFill>
              <w14:schemeClr w14:val="tx1"/>
            </w14:solidFill>
          </w14:textFill>
        </w:rPr>
        <w:t>类各项奖罚分</w:t>
      </w:r>
      <w:r>
        <w:rPr>
          <w:rFonts w:hint="eastAsia" w:ascii="仿宋" w:hAnsi="仿宋" w:eastAsia="仿宋" w:cs="仿宋"/>
          <w:color w:val="000000" w:themeColor="text1"/>
          <w:sz w:val="28"/>
          <w:szCs w:val="28"/>
          <w14:textFill>
            <w14:solidFill>
              <w14:schemeClr w14:val="tx1"/>
            </w14:solidFill>
          </w14:textFill>
        </w:rPr>
        <w:t>累计为最终的自律得分。同一良好执业或不良执业信息应按照最高记分标准评价，不重复记分。</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估价机构和从业人员自律评价</w:t>
      </w:r>
      <w:r>
        <w:rPr>
          <w:rFonts w:hint="eastAsia" w:ascii="仿宋" w:hAnsi="仿宋" w:eastAsia="仿宋" w:cs="仿宋"/>
          <w:color w:val="000000" w:themeColor="text1"/>
          <w:sz w:val="28"/>
          <w:szCs w:val="28"/>
          <w:lang w:val="en-US" w:eastAsia="zh-CN"/>
          <w14:textFill>
            <w14:solidFill>
              <w14:schemeClr w14:val="tx1"/>
            </w14:solidFill>
          </w14:textFill>
        </w:rPr>
        <w:t>得分</w:t>
      </w:r>
      <w:r>
        <w:rPr>
          <w:rFonts w:hint="eastAsia" w:ascii="仿宋" w:hAnsi="仿宋" w:eastAsia="仿宋" w:cs="仿宋"/>
          <w:color w:val="000000" w:themeColor="text1"/>
          <w:sz w:val="28"/>
          <w:szCs w:val="28"/>
          <w14:textFill>
            <w14:solidFill>
              <w14:schemeClr w14:val="tx1"/>
            </w14:solidFill>
          </w14:textFill>
        </w:rPr>
        <w:t>结果按得分情况分为两类：</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w:t>
      </w:r>
      <w:r>
        <w:rPr>
          <w:rFonts w:hint="eastAsia" w:ascii="仿宋" w:hAnsi="仿宋" w:eastAsia="仿宋" w:cs="仿宋"/>
          <w:color w:val="000000" w:themeColor="text1"/>
          <w:sz w:val="28"/>
          <w:szCs w:val="28"/>
          <w:lang w:val="en-US" w:eastAsia="zh-CN"/>
          <w14:textFill>
            <w14:solidFill>
              <w14:schemeClr w14:val="tx1"/>
            </w14:solidFill>
          </w14:textFill>
        </w:rPr>
        <w:t>达标</w:t>
      </w:r>
      <w:r>
        <w:rPr>
          <w:rFonts w:hint="eastAsia" w:ascii="仿宋" w:hAnsi="仿宋" w:eastAsia="仿宋" w:cs="仿宋"/>
          <w:color w:val="000000" w:themeColor="text1"/>
          <w:sz w:val="28"/>
          <w:szCs w:val="28"/>
          <w14:textFill>
            <w14:solidFill>
              <w14:schemeClr w14:val="tx1"/>
            </w14:solidFill>
          </w14:textFill>
        </w:rPr>
        <w:t>类，分三个等级，其中：</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0分（含）以上为AAA级；</w:t>
      </w:r>
      <w:r>
        <w:rPr>
          <w:rFonts w:hint="eastAsia" w:ascii="仿宋" w:hAnsi="仿宋" w:eastAsia="仿宋" w:cs="仿宋"/>
          <w:color w:val="000000" w:themeColor="text1"/>
          <w:sz w:val="28"/>
          <w:szCs w:val="28"/>
          <w:lang w:val="en-US" w:eastAsia="zh-CN"/>
          <w14:textFill>
            <w14:solidFill>
              <w14:schemeClr w14:val="tx1"/>
            </w14:solidFill>
          </w14:textFill>
        </w:rPr>
        <w:t>100分</w:t>
      </w:r>
      <w:r>
        <w:rPr>
          <w:rFonts w:hint="eastAsia" w:ascii="仿宋" w:hAnsi="仿宋" w:eastAsia="仿宋" w:cs="仿宋"/>
          <w:color w:val="000000" w:themeColor="text1"/>
          <w:sz w:val="28"/>
          <w:szCs w:val="28"/>
          <w14:textFill>
            <w14:solidFill>
              <w14:schemeClr w14:val="tx1"/>
            </w14:solidFill>
          </w14:textFill>
        </w:rPr>
        <w:t>（含）</w:t>
      </w:r>
      <w:r>
        <w:rPr>
          <w:rFonts w:hint="eastAsia" w:ascii="仿宋" w:hAnsi="仿宋" w:eastAsia="仿宋" w:cs="仿宋"/>
          <w:color w:val="000000" w:themeColor="text1"/>
          <w:sz w:val="28"/>
          <w:szCs w:val="28"/>
          <w:lang w:val="en-US" w:eastAsia="zh-CN"/>
          <w14:textFill>
            <w14:solidFill>
              <w14:schemeClr w14:val="tx1"/>
            </w14:solidFill>
          </w14:textFill>
        </w:rPr>
        <w:t>至 11</w:t>
      </w:r>
      <w:r>
        <w:rPr>
          <w:rFonts w:hint="eastAsia" w:ascii="仿宋" w:hAnsi="仿宋" w:eastAsia="仿宋" w:cs="仿宋"/>
          <w:color w:val="000000" w:themeColor="text1"/>
          <w:sz w:val="28"/>
          <w:szCs w:val="28"/>
          <w14:textFill>
            <w14:solidFill>
              <w14:schemeClr w14:val="tx1"/>
            </w14:solidFill>
          </w14:textFill>
        </w:rPr>
        <w:t>0分为AA级；</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 xml:space="preserve">0分（含 ）至 </w:t>
      </w:r>
      <w:r>
        <w:rPr>
          <w:rFonts w:hint="eastAsia" w:ascii="仿宋" w:hAnsi="仿宋" w:eastAsia="仿宋" w:cs="仿宋"/>
          <w:color w:val="000000" w:themeColor="text1"/>
          <w:sz w:val="28"/>
          <w:szCs w:val="28"/>
          <w:lang w:val="en-US" w:eastAsia="zh-CN"/>
          <w14:textFill>
            <w14:solidFill>
              <w14:schemeClr w14:val="tx1"/>
            </w14:solidFill>
          </w14:textFill>
        </w:rPr>
        <w:t>100</w:t>
      </w:r>
      <w:r>
        <w:rPr>
          <w:rFonts w:hint="eastAsia" w:ascii="仿宋" w:hAnsi="仿宋" w:eastAsia="仿宋" w:cs="仿宋"/>
          <w:color w:val="000000" w:themeColor="text1"/>
          <w:sz w:val="28"/>
          <w:szCs w:val="28"/>
          <w14:textFill>
            <w14:solidFill>
              <w14:schemeClr w14:val="tx1"/>
            </w14:solidFill>
          </w14:textFill>
        </w:rPr>
        <w:t>分为A级。</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（二）不</w:t>
      </w:r>
      <w:r>
        <w:rPr>
          <w:rFonts w:hint="eastAsia" w:ascii="仿宋" w:hAnsi="仿宋" w:eastAsia="仿宋" w:cs="仿宋"/>
          <w:color w:val="000000" w:themeColor="text1"/>
          <w:sz w:val="28"/>
          <w:szCs w:val="28"/>
          <w:lang w:val="en-US" w:eastAsia="zh-CN"/>
          <w14:textFill>
            <w14:solidFill>
              <w14:schemeClr w14:val="tx1"/>
            </w14:solidFill>
          </w14:textFill>
        </w:rPr>
        <w:t>达标</w:t>
      </w:r>
      <w:r>
        <w:rPr>
          <w:rFonts w:hint="eastAsia" w:ascii="仿宋" w:hAnsi="仿宋" w:eastAsia="仿宋" w:cs="仿宋"/>
          <w:color w:val="000000" w:themeColor="text1"/>
          <w:sz w:val="28"/>
          <w:szCs w:val="28"/>
          <w14:textFill>
            <w14:solidFill>
              <w14:schemeClr w14:val="tx1"/>
            </w14:solidFill>
          </w14:textFill>
        </w:rPr>
        <w:t>类，分两个等级，其中：</w:t>
      </w:r>
      <w:r>
        <w:rPr>
          <w:rFonts w:hint="eastAsia" w:ascii="仿宋" w:hAnsi="仿宋" w:eastAsia="仿宋" w:cs="仿宋"/>
          <w:color w:val="000000" w:themeColor="text1"/>
          <w:sz w:val="28"/>
          <w:szCs w:val="28"/>
          <w:lang w:val="en-US" w:eastAsia="zh-CN"/>
          <w14:textFill>
            <w14:solidFill>
              <w14:schemeClr w14:val="tx1"/>
            </w14:solidFill>
          </w14:textFill>
        </w:rPr>
        <w:t>70</w:t>
      </w:r>
      <w:r>
        <w:rPr>
          <w:rFonts w:hint="eastAsia" w:ascii="仿宋" w:hAnsi="仿宋" w:eastAsia="仿宋" w:cs="仿宋"/>
          <w:color w:val="000000" w:themeColor="text1"/>
          <w:sz w:val="28"/>
          <w:szCs w:val="28"/>
          <w14:textFill>
            <w14:solidFill>
              <w14:schemeClr w14:val="tx1"/>
            </w14:solidFill>
          </w14:textFill>
        </w:rPr>
        <w:t>（含）</w:t>
      </w:r>
      <w:r>
        <w:rPr>
          <w:rFonts w:hint="eastAsia" w:ascii="仿宋" w:hAnsi="仿宋" w:eastAsia="仿宋" w:cs="仿宋"/>
          <w:color w:val="000000" w:themeColor="text1"/>
          <w:sz w:val="28"/>
          <w:szCs w:val="28"/>
          <w:lang w:val="en-US" w:eastAsia="zh-CN"/>
          <w14:textFill>
            <w14:solidFill>
              <w14:schemeClr w14:val="tx1"/>
            </w14:solidFill>
          </w14:textFill>
        </w:rPr>
        <w:t>至9</w:t>
      </w:r>
      <w:r>
        <w:rPr>
          <w:rFonts w:hint="eastAsia" w:ascii="仿宋" w:hAnsi="仿宋" w:eastAsia="仿宋" w:cs="仿宋"/>
          <w:color w:val="000000" w:themeColor="text1"/>
          <w:sz w:val="28"/>
          <w:szCs w:val="28"/>
          <w14:textFill>
            <w14:solidFill>
              <w14:schemeClr w14:val="tx1"/>
            </w14:solidFill>
          </w14:textFill>
        </w:rPr>
        <w:t>0分为B级；</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0分以下为C级。</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第二十五条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会员自律</w:t>
      </w:r>
      <w:r>
        <w:rPr>
          <w:rFonts w:hint="eastAsia" w:ascii="仿宋" w:hAnsi="仿宋" w:eastAsia="仿宋" w:cs="仿宋"/>
          <w:color w:val="000000" w:themeColor="text1"/>
          <w:sz w:val="28"/>
          <w:szCs w:val="28"/>
          <w14:textFill>
            <w14:solidFill>
              <w14:schemeClr w14:val="tx1"/>
            </w14:solidFill>
          </w14:textFill>
        </w:rPr>
        <w:t>评价</w:t>
      </w:r>
      <w:r>
        <w:rPr>
          <w:rFonts w:hint="eastAsia" w:ascii="仿宋" w:hAnsi="仿宋" w:eastAsia="仿宋" w:cs="仿宋"/>
          <w:color w:val="000000" w:themeColor="text1"/>
          <w:sz w:val="28"/>
          <w:szCs w:val="28"/>
          <w:lang w:val="en-US" w:eastAsia="zh-CN"/>
          <w14:textFill>
            <w14:solidFill>
              <w14:schemeClr w14:val="tx1"/>
            </w14:solidFill>
          </w14:textFill>
        </w:rPr>
        <w:t>合格</w:t>
      </w:r>
      <w:r>
        <w:rPr>
          <w:rFonts w:hint="eastAsia" w:ascii="仿宋" w:hAnsi="仿宋" w:eastAsia="仿宋" w:cs="仿宋"/>
          <w:color w:val="000000" w:themeColor="text1"/>
          <w:sz w:val="28"/>
          <w:szCs w:val="28"/>
          <w14:textFill>
            <w14:solidFill>
              <w14:schemeClr w14:val="tx1"/>
            </w14:solidFill>
          </w14:textFill>
        </w:rPr>
        <w:t>等级</w:t>
      </w:r>
      <w:r>
        <w:rPr>
          <w:rFonts w:hint="eastAsia" w:ascii="仿宋" w:hAnsi="仿宋" w:eastAsia="仿宋" w:cs="仿宋"/>
          <w:color w:val="000000" w:themeColor="text1"/>
          <w:sz w:val="28"/>
          <w:szCs w:val="28"/>
          <w:lang w:val="en-US" w:eastAsia="zh-CN"/>
          <w14:textFill>
            <w14:solidFill>
              <w14:schemeClr w14:val="tx1"/>
            </w14:solidFill>
          </w14:textFill>
        </w:rPr>
        <w:t>的定义：</w:t>
      </w:r>
      <w:r>
        <w:rPr>
          <w:rFonts w:hint="eastAsia" w:ascii="仿宋" w:hAnsi="仿宋" w:eastAsia="仿宋" w:cs="仿宋"/>
          <w:color w:val="000000" w:themeColor="text1"/>
          <w:sz w:val="28"/>
          <w:szCs w:val="28"/>
          <w14:textFill>
            <w14:solidFill>
              <w14:schemeClr w14:val="tx1"/>
            </w14:solidFill>
          </w14:textFill>
        </w:rPr>
        <w:t>估价机构</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应</w:t>
      </w:r>
      <w:r>
        <w:rPr>
          <w:rFonts w:hint="eastAsia" w:ascii="仿宋" w:hAnsi="仿宋" w:eastAsia="仿宋" w:cs="仿宋"/>
          <w:color w:val="000000" w:themeColor="text1"/>
          <w:sz w:val="28"/>
          <w:szCs w:val="28"/>
          <w:lang w:val="en-US" w:eastAsia="zh-CN"/>
          <w14:textFill>
            <w14:solidFill>
              <w14:schemeClr w14:val="tx1"/>
            </w14:solidFill>
          </w14:textFill>
        </w:rPr>
        <w:t>完全</w:t>
      </w:r>
      <w:r>
        <w:rPr>
          <w:rFonts w:hint="eastAsia" w:ascii="仿宋" w:hAnsi="仿宋" w:eastAsia="仿宋" w:cs="仿宋"/>
          <w:color w:val="000000" w:themeColor="text1"/>
          <w:sz w:val="28"/>
          <w:szCs w:val="28"/>
          <w14:textFill>
            <w14:solidFill>
              <w14:schemeClr w14:val="tx1"/>
            </w14:solidFill>
          </w14:textFill>
        </w:rPr>
        <w:t>具备下列基本条件：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（一）依法设立并向房地产估价行业管理部门备案；</w:t>
      </w:r>
    </w:p>
    <w:p>
      <w:pPr>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（二）估价机构近三年无</w:t>
      </w:r>
      <w:r>
        <w:rPr>
          <w:rFonts w:hint="eastAsia" w:ascii="仿宋" w:hAnsi="仿宋" w:eastAsia="仿宋" w:cs="仿宋"/>
          <w:color w:val="000000" w:themeColor="text1"/>
          <w:sz w:val="28"/>
          <w:szCs w:val="28"/>
          <w:lang w:val="en-US" w:eastAsia="zh-CN"/>
          <w14:textFill>
            <w14:solidFill>
              <w14:schemeClr w14:val="tx1"/>
            </w14:solidFill>
          </w14:textFill>
        </w:rPr>
        <w:t>重大违规被行政处罚及以上更严重的处罚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或估价机构的</w:t>
      </w:r>
      <w:r>
        <w:rPr>
          <w:rFonts w:hint="eastAsia" w:ascii="仿宋" w:hAnsi="仿宋" w:eastAsia="仿宋" w:cs="仿宋"/>
          <w:color w:val="000000" w:themeColor="text1"/>
          <w:sz w:val="28"/>
          <w:szCs w:val="28"/>
          <w14:textFill>
            <w14:solidFill>
              <w14:schemeClr w14:val="tx1"/>
            </w14:solidFill>
          </w14:textFill>
        </w:rPr>
        <w:t>实际控制人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法定代表人、执行合伙人、主要负责人近三年无</w:t>
      </w:r>
      <w:r>
        <w:rPr>
          <w:rFonts w:hint="eastAsia" w:ascii="仿宋" w:hAnsi="仿宋" w:eastAsia="仿宋" w:cs="仿宋"/>
          <w:color w:val="000000" w:themeColor="text1"/>
          <w:sz w:val="28"/>
          <w:szCs w:val="28"/>
          <w:lang w:val="en-US" w:eastAsia="zh-CN"/>
          <w14:textFill>
            <w14:solidFill>
              <w14:schemeClr w14:val="tx1"/>
            </w14:solidFill>
          </w14:textFill>
        </w:rPr>
        <w:t>因</w:t>
      </w:r>
      <w:r>
        <w:rPr>
          <w:rFonts w:hint="eastAsia" w:ascii="仿宋" w:hAnsi="仿宋" w:eastAsia="仿宋" w:cs="仿宋"/>
          <w:color w:val="000000" w:themeColor="text1"/>
          <w:sz w:val="28"/>
          <w:szCs w:val="28"/>
          <w14:textFill>
            <w14:solidFill>
              <w14:schemeClr w14:val="tx1"/>
            </w14:solidFill>
          </w14:textFill>
        </w:rPr>
        <w:t>违法</w:t>
      </w:r>
      <w:r>
        <w:rPr>
          <w:rFonts w:hint="eastAsia" w:ascii="仿宋" w:hAnsi="仿宋" w:eastAsia="仿宋" w:cs="仿宋"/>
          <w:color w:val="000000" w:themeColor="text1"/>
          <w:sz w:val="28"/>
          <w:szCs w:val="28"/>
          <w:lang w:val="en-US" w:eastAsia="zh-CN"/>
          <w14:textFill>
            <w14:solidFill>
              <w14:schemeClr w14:val="tx1"/>
            </w14:solidFill>
          </w14:textFill>
        </w:rPr>
        <w:t>被处罚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因犯罪被刑罚的</w:t>
      </w:r>
      <w:r>
        <w:rPr>
          <w:rFonts w:hint="eastAsia" w:ascii="仿宋" w:hAnsi="仿宋" w:eastAsia="仿宋" w:cs="仿宋"/>
          <w:color w:val="000000" w:themeColor="text1"/>
          <w:sz w:val="28"/>
          <w:szCs w:val="28"/>
          <w14:textFill>
            <w14:solidFill>
              <w14:schemeClr w14:val="tx1"/>
            </w14:solidFill>
          </w14:textFill>
        </w:rPr>
        <w:t>不良执业记录；</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w:t>
      </w:r>
      <w:r>
        <w:rPr>
          <w:rFonts w:hint="eastAsia" w:ascii="仿宋" w:hAnsi="仿宋" w:eastAsia="仿宋" w:cs="仿宋"/>
          <w:color w:val="000000" w:themeColor="text1"/>
          <w:sz w:val="28"/>
          <w:szCs w:val="28"/>
          <w:lang w:val="en-US" w:eastAsia="zh-CN"/>
          <w14:textFill>
            <w14:solidFill>
              <w14:schemeClr w14:val="tx1"/>
            </w14:solidFill>
          </w14:textFill>
        </w:rPr>
        <w:t>近一年未受到全国、</w:t>
      </w:r>
      <w:r>
        <w:rPr>
          <w:rFonts w:hint="eastAsia" w:ascii="仿宋" w:hAnsi="仿宋" w:eastAsia="仿宋" w:cs="仿宋"/>
          <w:color w:val="000000" w:themeColor="text1"/>
          <w:sz w:val="28"/>
          <w:szCs w:val="28"/>
          <w14:textFill>
            <w14:solidFill>
              <w14:schemeClr w14:val="tx1"/>
            </w14:solidFill>
          </w14:textFill>
        </w:rPr>
        <w:t>省、市协会组织的自律</w:t>
      </w:r>
      <w:r>
        <w:rPr>
          <w:rFonts w:hint="eastAsia" w:ascii="仿宋" w:hAnsi="仿宋" w:eastAsia="仿宋" w:cs="仿宋"/>
          <w:color w:val="000000" w:themeColor="text1"/>
          <w:sz w:val="28"/>
          <w:szCs w:val="28"/>
          <w:lang w:val="en-US" w:eastAsia="zh-CN"/>
          <w14:textFill>
            <w14:solidFill>
              <w14:schemeClr w14:val="tx1"/>
            </w14:solidFill>
          </w14:textFill>
        </w:rPr>
        <w:t>违规事项的公开通报</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在当前</w:t>
      </w:r>
      <w:r>
        <w:rPr>
          <w:rFonts w:hint="eastAsia" w:ascii="仿宋" w:hAnsi="仿宋" w:eastAsia="仿宋" w:cs="仿宋"/>
          <w:color w:val="000000" w:themeColor="text1"/>
          <w:sz w:val="28"/>
          <w:szCs w:val="28"/>
          <w:lang w:eastAsia="zh-CN"/>
          <w14:textFill>
            <w14:solidFill>
              <w14:schemeClr w14:val="tx1"/>
            </w14:solidFill>
          </w14:textFill>
        </w:rPr>
        <w:t>记分周期</w:t>
      </w:r>
      <w:r>
        <w:rPr>
          <w:rFonts w:hint="eastAsia" w:ascii="仿宋" w:hAnsi="仿宋" w:eastAsia="仿宋" w:cs="仿宋"/>
          <w:color w:val="000000" w:themeColor="text1"/>
          <w:sz w:val="28"/>
          <w:szCs w:val="28"/>
          <w:lang w:val="en-US" w:eastAsia="zh-CN"/>
          <w14:textFill>
            <w14:solidFill>
              <w14:schemeClr w14:val="tx1"/>
            </w14:solidFill>
          </w14:textFill>
        </w:rPr>
        <w:t>中，会员自律评价得分结果为A级（自律总得分≥90分）及以上的持续时间达到三个月及以上。</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 xml:space="preserve">第二十六条 </w:t>
      </w:r>
      <w:r>
        <w:rPr>
          <w:rFonts w:hint="eastAsia" w:ascii="仿宋" w:hAnsi="仿宋" w:eastAsia="仿宋" w:cs="仿宋"/>
          <w:color w:val="000000" w:themeColor="text1"/>
          <w:sz w:val="28"/>
          <w:szCs w:val="28"/>
          <w:lang w:val="en-US" w:eastAsia="zh-CN"/>
          <w14:textFill>
            <w14:solidFill>
              <w14:schemeClr w14:val="tx1"/>
            </w14:solidFill>
          </w14:textFill>
        </w:rPr>
        <w:t>在当前记分周期中，自律评价已在合格等级的会员，当</w:t>
      </w:r>
      <w:r>
        <w:rPr>
          <w:rFonts w:hint="eastAsia" w:ascii="仿宋" w:hAnsi="仿宋" w:eastAsia="仿宋" w:cs="仿宋"/>
          <w:color w:val="000000" w:themeColor="text1"/>
          <w:sz w:val="28"/>
          <w:szCs w:val="28"/>
          <w14:textFill>
            <w14:solidFill>
              <w14:schemeClr w14:val="tx1"/>
            </w14:solidFill>
          </w14:textFill>
        </w:rPr>
        <w:t>自律评价得分结果为AAA级（自律总得分≥</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000000" w:themeColor="text1"/>
          <w:sz w:val="28"/>
          <w:szCs w:val="28"/>
          <w14:textFill>
            <w14:solidFill>
              <w14:schemeClr w14:val="tx1"/>
            </w14:solidFill>
          </w14:textFill>
        </w:rPr>
        <w:t>0分）</w:t>
      </w:r>
      <w:r>
        <w:rPr>
          <w:rFonts w:hint="eastAsia" w:ascii="仿宋" w:hAnsi="仿宋" w:eastAsia="仿宋" w:cs="仿宋"/>
          <w:color w:val="000000" w:themeColor="text1"/>
          <w:sz w:val="28"/>
          <w:szCs w:val="28"/>
          <w:lang w:val="en-US" w:eastAsia="zh-CN"/>
          <w14:textFill>
            <w14:solidFill>
              <w14:schemeClr w14:val="tx1"/>
            </w14:solidFill>
          </w14:textFill>
        </w:rPr>
        <w:t>的持续时间达到半年时</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自律评价为优秀等级，</w:t>
      </w:r>
      <w:r>
        <w:rPr>
          <w:rFonts w:hint="eastAsia" w:ascii="仿宋" w:hAnsi="仿宋" w:eastAsia="仿宋" w:cs="仿宋"/>
          <w:color w:val="000000" w:themeColor="text1"/>
          <w:sz w:val="28"/>
          <w:szCs w:val="28"/>
          <w14:textFill>
            <w14:solidFill>
              <w14:schemeClr w14:val="tx1"/>
            </w14:solidFill>
          </w14:textFill>
        </w:rPr>
        <w:t>给予以下激励：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(一)向社会有关部门、企业优先推荐选用；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(二)向</w:t>
      </w:r>
      <w:r>
        <w:rPr>
          <w:rFonts w:hint="eastAsia" w:ascii="仿宋" w:hAnsi="仿宋" w:eastAsia="仿宋" w:cs="仿宋"/>
          <w:color w:val="000000" w:themeColor="text1"/>
          <w:sz w:val="28"/>
          <w:szCs w:val="28"/>
          <w:lang w:val="en-US" w:eastAsia="zh-CN"/>
          <w14:textFill>
            <w14:solidFill>
              <w14:schemeClr w14:val="tx1"/>
            </w14:solidFill>
          </w14:textFill>
        </w:rPr>
        <w:t>行业</w:t>
      </w:r>
      <w:r>
        <w:rPr>
          <w:rFonts w:hint="eastAsia" w:ascii="仿宋" w:hAnsi="仿宋" w:eastAsia="仿宋" w:cs="仿宋"/>
          <w:color w:val="000000" w:themeColor="text1"/>
          <w:sz w:val="28"/>
          <w:szCs w:val="28"/>
          <w14:textFill>
            <w14:solidFill>
              <w14:schemeClr w14:val="tx1"/>
            </w14:solidFill>
          </w14:textFill>
        </w:rPr>
        <w:t>行政管理部门优先推荐表彰</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名额有限时，按自律总得分高低排序择优推荐</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(三)为其出具无不良行为记录证明时，</w:t>
      </w:r>
      <w:r>
        <w:rPr>
          <w:rFonts w:hint="eastAsia" w:ascii="仿宋" w:hAnsi="仿宋" w:eastAsia="仿宋" w:cs="仿宋"/>
          <w:color w:val="000000" w:themeColor="text1"/>
          <w:sz w:val="28"/>
          <w:szCs w:val="28"/>
          <w:lang w:val="en-US" w:eastAsia="zh-CN"/>
          <w14:textFill>
            <w14:solidFill>
              <w14:schemeClr w14:val="tx1"/>
            </w14:solidFill>
          </w14:textFill>
        </w:rPr>
        <w:t>应标注会员</w:t>
      </w:r>
      <w:r>
        <w:rPr>
          <w:rFonts w:hint="eastAsia" w:ascii="仿宋" w:hAnsi="仿宋" w:eastAsia="仿宋" w:cs="仿宋"/>
          <w:color w:val="000000" w:themeColor="text1"/>
          <w:sz w:val="28"/>
          <w:szCs w:val="28"/>
          <w14:textFill>
            <w14:solidFill>
              <w14:schemeClr w14:val="tx1"/>
            </w14:solidFill>
          </w14:textFill>
        </w:rPr>
        <w:t>自律管理</w:t>
      </w:r>
      <w:r>
        <w:rPr>
          <w:rFonts w:hint="eastAsia" w:ascii="仿宋" w:hAnsi="仿宋" w:eastAsia="仿宋" w:cs="仿宋"/>
          <w:color w:val="000000" w:themeColor="text1"/>
          <w:sz w:val="28"/>
          <w:szCs w:val="28"/>
          <w:lang w:val="en-US" w:eastAsia="zh-CN"/>
          <w14:textFill>
            <w14:solidFill>
              <w14:schemeClr w14:val="tx1"/>
            </w14:solidFill>
          </w14:textFill>
        </w:rPr>
        <w:t>优秀等级</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(四)依照法律、法规、规章和</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协会章程、行业自律机制等规定</w:t>
      </w:r>
      <w:r>
        <w:rPr>
          <w:rFonts w:hint="eastAsia" w:ascii="仿宋" w:hAnsi="仿宋" w:eastAsia="仿宋" w:cs="仿宋"/>
          <w:color w:val="000000" w:themeColor="text1"/>
          <w:sz w:val="28"/>
          <w:szCs w:val="28"/>
          <w:lang w:val="en-US" w:eastAsia="zh-CN"/>
          <w14:textFill>
            <w14:solidFill>
              <w14:schemeClr w14:val="tx1"/>
            </w14:solidFill>
          </w14:textFill>
        </w:rPr>
        <w:t>应给予的</w:t>
      </w:r>
      <w:r>
        <w:rPr>
          <w:rFonts w:hint="eastAsia" w:ascii="仿宋" w:hAnsi="仿宋" w:eastAsia="仿宋" w:cs="仿宋"/>
          <w:color w:val="000000" w:themeColor="text1"/>
          <w:sz w:val="28"/>
          <w:szCs w:val="28"/>
          <w14:textFill>
            <w14:solidFill>
              <w14:schemeClr w14:val="tx1"/>
            </w14:solidFill>
          </w14:textFill>
        </w:rPr>
        <w:t>其他激励措施。</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 xml:space="preserve">第二十七条 </w:t>
      </w:r>
      <w:r>
        <w:rPr>
          <w:rFonts w:hint="eastAsia" w:ascii="仿宋" w:hAnsi="仿宋" w:eastAsia="仿宋" w:cs="仿宋"/>
          <w:color w:val="000000" w:themeColor="text1"/>
          <w:sz w:val="28"/>
          <w:szCs w:val="28"/>
          <w14:textFill>
            <w14:solidFill>
              <w14:schemeClr w14:val="tx1"/>
            </w14:solidFill>
          </w14:textFill>
        </w:rPr>
        <w:t>根据当前记分周期，</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自律评价</w:t>
      </w:r>
      <w:r>
        <w:rPr>
          <w:rFonts w:hint="eastAsia" w:ascii="仿宋" w:hAnsi="仿宋" w:eastAsia="仿宋" w:cs="仿宋"/>
          <w:color w:val="000000" w:themeColor="text1"/>
          <w:sz w:val="28"/>
          <w:szCs w:val="28"/>
          <w:lang w:val="en-US" w:eastAsia="zh-CN"/>
          <w14:textFill>
            <w14:solidFill>
              <w14:schemeClr w14:val="tx1"/>
            </w14:solidFill>
          </w14:textFill>
        </w:rPr>
        <w:t>达不到</w:t>
      </w:r>
      <w:r>
        <w:rPr>
          <w:rFonts w:hint="eastAsia" w:ascii="仿宋" w:hAnsi="仿宋" w:eastAsia="仿宋" w:cs="仿宋"/>
          <w:color w:val="000000" w:themeColor="text1"/>
          <w:sz w:val="28"/>
          <w:szCs w:val="28"/>
          <w14:textFill>
            <w14:solidFill>
              <w14:schemeClr w14:val="tx1"/>
            </w14:solidFill>
          </w14:textFill>
        </w:rPr>
        <w:t>合格等级，</w:t>
      </w:r>
      <w:r>
        <w:rPr>
          <w:rFonts w:hint="eastAsia" w:ascii="仿宋" w:hAnsi="仿宋" w:eastAsia="仿宋" w:cs="仿宋"/>
          <w:color w:val="000000" w:themeColor="text1"/>
          <w:sz w:val="28"/>
          <w:szCs w:val="28"/>
          <w:lang w:val="en-US" w:eastAsia="zh-CN"/>
          <w14:textFill>
            <w14:solidFill>
              <w14:schemeClr w14:val="tx1"/>
            </w14:solidFill>
          </w14:textFill>
        </w:rPr>
        <w:t>且</w:t>
      </w:r>
      <w:r>
        <w:rPr>
          <w:rFonts w:hint="eastAsia" w:ascii="仿宋" w:hAnsi="仿宋" w:eastAsia="仿宋" w:cs="仿宋"/>
          <w:color w:val="000000" w:themeColor="text1"/>
          <w:sz w:val="28"/>
          <w:szCs w:val="28"/>
          <w14:textFill>
            <w14:solidFill>
              <w14:schemeClr w14:val="tx1"/>
            </w14:solidFill>
          </w14:textFill>
        </w:rPr>
        <w:t>会员自律总得分为</w:t>
      </w:r>
      <w:r>
        <w:rPr>
          <w:rFonts w:hint="eastAsia" w:ascii="仿宋" w:hAnsi="仿宋" w:eastAsia="仿宋" w:cs="仿宋"/>
          <w:color w:val="000000" w:themeColor="text1"/>
          <w:sz w:val="28"/>
          <w:szCs w:val="28"/>
          <w:lang w:val="en-US" w:eastAsia="zh-CN"/>
          <w14:textFill>
            <w14:solidFill>
              <w14:schemeClr w14:val="tx1"/>
            </w14:solidFill>
          </w14:textFill>
        </w:rPr>
        <w:t>B</w:t>
      </w:r>
      <w:r>
        <w:rPr>
          <w:rFonts w:hint="eastAsia" w:ascii="仿宋" w:hAnsi="仿宋" w:eastAsia="仿宋" w:cs="仿宋"/>
          <w:color w:val="000000" w:themeColor="text1"/>
          <w:sz w:val="28"/>
          <w:szCs w:val="28"/>
          <w14:textFill>
            <w14:solidFill>
              <w14:schemeClr w14:val="tx1"/>
            </w14:solidFill>
          </w14:textFill>
        </w:rPr>
        <w:t>级</w:t>
      </w:r>
      <w:r>
        <w:rPr>
          <w:rFonts w:hint="eastAsia" w:ascii="仿宋" w:hAnsi="仿宋" w:eastAsia="仿宋" w:cs="仿宋"/>
          <w:color w:val="000000" w:themeColor="text1"/>
          <w:sz w:val="28"/>
          <w:szCs w:val="28"/>
          <w:lang w:val="en-US" w:eastAsia="zh-CN"/>
          <w14:textFill>
            <w14:solidFill>
              <w14:schemeClr w14:val="tx1"/>
            </w14:solidFill>
          </w14:textFill>
        </w:rPr>
        <w:t>时</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w:t>
      </w:r>
      <w:r>
        <w:rPr>
          <w:rFonts w:hint="eastAsia" w:ascii="仿宋" w:hAnsi="仿宋" w:eastAsia="仿宋" w:cs="仿宋"/>
          <w:color w:val="000000" w:themeColor="text1"/>
          <w:sz w:val="28"/>
          <w:szCs w:val="28"/>
          <w:lang w:val="en-US" w:eastAsia="zh-CN"/>
          <w14:textFill>
            <w14:solidFill>
              <w14:schemeClr w14:val="tx1"/>
            </w14:solidFill>
          </w14:textFill>
        </w:rPr>
        <w:t>应</w:t>
      </w:r>
      <w:r>
        <w:rPr>
          <w:rFonts w:hint="eastAsia" w:ascii="仿宋" w:hAnsi="仿宋" w:eastAsia="仿宋" w:cs="仿宋"/>
          <w:color w:val="000000" w:themeColor="text1"/>
          <w:sz w:val="28"/>
          <w:szCs w:val="28"/>
          <w14:textFill>
            <w14:solidFill>
              <w14:schemeClr w14:val="tx1"/>
            </w14:solidFill>
          </w14:textFill>
        </w:rPr>
        <w:t>约谈估价机构法定代表人或分支机构负责人、从业人员，对该机构不予出具无不良行为记录证明</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会员自律评价达不到合格等级，且会员</w:t>
      </w:r>
      <w:r>
        <w:rPr>
          <w:rFonts w:hint="eastAsia" w:ascii="仿宋" w:hAnsi="仿宋" w:eastAsia="仿宋" w:cs="仿宋"/>
          <w:color w:val="000000" w:themeColor="text1"/>
          <w:sz w:val="28"/>
          <w:szCs w:val="28"/>
          <w14:textFill>
            <w14:solidFill>
              <w14:schemeClr w14:val="tx1"/>
            </w14:solidFill>
          </w14:textFill>
        </w:rPr>
        <w:t>自律总得分为C级，该</w:t>
      </w:r>
      <w:r>
        <w:rPr>
          <w:rFonts w:hint="eastAsia" w:ascii="仿宋" w:hAnsi="仿宋" w:eastAsia="仿宋" w:cs="仿宋"/>
          <w:color w:val="000000" w:themeColor="text1"/>
          <w:sz w:val="28"/>
          <w:szCs w:val="28"/>
          <w:lang w:val="en-US" w:eastAsia="zh-CN"/>
          <w14:textFill>
            <w14:solidFill>
              <w14:schemeClr w14:val="tx1"/>
            </w14:solidFill>
          </w14:textFill>
        </w:rPr>
        <w:t>会员应被</w:t>
      </w:r>
      <w:r>
        <w:rPr>
          <w:rFonts w:hint="eastAsia" w:ascii="仿宋" w:hAnsi="仿宋" w:eastAsia="仿宋" w:cs="仿宋"/>
          <w:color w:val="000000" w:themeColor="text1"/>
          <w:sz w:val="28"/>
          <w:szCs w:val="28"/>
          <w14:textFill>
            <w14:solidFill>
              <w14:schemeClr w14:val="tx1"/>
            </w14:solidFill>
          </w14:textFill>
        </w:rPr>
        <w:t>列入自律警示名单</w:t>
      </w:r>
      <w:r>
        <w:rPr>
          <w:rFonts w:hint="eastAsia" w:ascii="仿宋" w:hAnsi="仿宋" w:eastAsia="仿宋" w:cs="仿宋"/>
          <w:color w:val="000000" w:themeColor="text1"/>
          <w:sz w:val="28"/>
          <w:szCs w:val="28"/>
          <w:lang w:val="en-US" w:eastAsia="zh-CN"/>
          <w14:textFill>
            <w14:solidFill>
              <w14:schemeClr w14:val="tx1"/>
            </w14:solidFill>
          </w14:textFill>
        </w:rPr>
        <w:t>在协会会员网站</w:t>
      </w:r>
      <w:r>
        <w:rPr>
          <w:rFonts w:hint="eastAsia" w:ascii="仿宋" w:hAnsi="仿宋" w:eastAsia="仿宋" w:cs="仿宋"/>
          <w:color w:val="000000" w:themeColor="text1"/>
          <w:sz w:val="28"/>
          <w:szCs w:val="28"/>
          <w14:textFill>
            <w14:solidFill>
              <w14:schemeClr w14:val="tx1"/>
            </w14:solidFill>
          </w14:textFill>
        </w:rPr>
        <w:t>予以公示，协会不予出具无不良行为记录证明，并</w:t>
      </w:r>
      <w:r>
        <w:rPr>
          <w:rFonts w:hint="eastAsia" w:ascii="仿宋" w:hAnsi="仿宋" w:eastAsia="仿宋" w:cs="仿宋"/>
          <w:color w:val="000000" w:themeColor="text1"/>
          <w:sz w:val="28"/>
          <w:szCs w:val="28"/>
          <w:lang w:val="en-US" w:eastAsia="zh-CN"/>
          <w14:textFill>
            <w14:solidFill>
              <w14:schemeClr w14:val="tx1"/>
            </w14:solidFill>
          </w14:textFill>
        </w:rPr>
        <w:t>通报给会员</w:t>
      </w:r>
      <w:r>
        <w:rPr>
          <w:rFonts w:hint="eastAsia" w:ascii="仿宋" w:hAnsi="仿宋" w:eastAsia="仿宋" w:cs="仿宋"/>
          <w:color w:val="000000" w:themeColor="text1"/>
          <w:sz w:val="28"/>
          <w:szCs w:val="28"/>
          <w14:textFill>
            <w14:solidFill>
              <w14:schemeClr w14:val="tx1"/>
            </w14:solidFill>
          </w14:textFill>
        </w:rPr>
        <w:t>备案行政许可机关。</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第二十八条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协会根据本自律手册对</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出具无不良执业信息证明等文件，若法律、法规、规范性文件等对出具自律信息</w:t>
      </w:r>
      <w:r>
        <w:rPr>
          <w:rFonts w:hint="eastAsia" w:ascii="仿宋" w:hAnsi="仿宋" w:eastAsia="仿宋" w:cs="仿宋"/>
          <w:color w:val="000000" w:themeColor="text1"/>
          <w:sz w:val="28"/>
          <w:szCs w:val="28"/>
          <w:lang w:val="en-US" w:eastAsia="zh-CN"/>
          <w14:textFill>
            <w14:solidFill>
              <w14:schemeClr w14:val="tx1"/>
            </w14:solidFill>
          </w14:textFill>
        </w:rPr>
        <w:t>合格等级</w:t>
      </w:r>
      <w:r>
        <w:rPr>
          <w:rFonts w:hint="eastAsia" w:ascii="仿宋" w:hAnsi="仿宋" w:eastAsia="仿宋" w:cs="仿宋"/>
          <w:color w:val="000000" w:themeColor="text1"/>
          <w:sz w:val="28"/>
          <w:szCs w:val="28"/>
          <w14:textFill>
            <w14:solidFill>
              <w14:schemeClr w14:val="tx1"/>
            </w14:solidFill>
          </w14:textFill>
        </w:rPr>
        <w:t>证明有其他规定的，</w:t>
      </w:r>
      <w:r>
        <w:rPr>
          <w:rFonts w:hint="eastAsia" w:ascii="仿宋" w:hAnsi="仿宋" w:eastAsia="仿宋" w:cs="仿宋"/>
          <w:color w:val="000000" w:themeColor="text1"/>
          <w:sz w:val="28"/>
          <w:szCs w:val="28"/>
          <w:lang w:val="en-US" w:eastAsia="zh-CN"/>
          <w14:textFill>
            <w14:solidFill>
              <w14:schemeClr w14:val="tx1"/>
            </w14:solidFill>
          </w14:textFill>
        </w:rPr>
        <w:t>应</w:t>
      </w:r>
      <w:r>
        <w:rPr>
          <w:rFonts w:hint="eastAsia" w:ascii="仿宋" w:hAnsi="仿宋" w:eastAsia="仿宋" w:cs="仿宋"/>
          <w:color w:val="000000" w:themeColor="text1"/>
          <w:sz w:val="28"/>
          <w:szCs w:val="28"/>
          <w14:textFill>
            <w14:solidFill>
              <w14:schemeClr w14:val="tx1"/>
            </w14:solidFill>
          </w14:textFill>
        </w:rPr>
        <w:t>从其规定。</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第二十九条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自律信息作为历史数据，协会建立</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自律信息档案，并长期保存。自律信息档案应当包括以下内容：</w:t>
      </w:r>
    </w:p>
    <w:p>
      <w:pPr>
        <w:numPr>
          <w:ilvl w:val="0"/>
          <w:numId w:val="1"/>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基本信息；</w:t>
      </w:r>
    </w:p>
    <w:p>
      <w:pPr>
        <w:numPr>
          <w:ilvl w:val="0"/>
          <w:numId w:val="1"/>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优秀执业信息；</w:t>
      </w:r>
    </w:p>
    <w:p>
      <w:pPr>
        <w:numPr>
          <w:ilvl w:val="0"/>
          <w:numId w:val="1"/>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不良执业信息；</w:t>
      </w:r>
    </w:p>
    <w:p>
      <w:pPr>
        <w:numPr>
          <w:ilvl w:val="0"/>
          <w:numId w:val="1"/>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自律信息对应的具体情形；</w:t>
      </w:r>
    </w:p>
    <w:p>
      <w:pPr>
        <w:numPr>
          <w:ilvl w:val="0"/>
          <w:numId w:val="1"/>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自律信息对应的评价结果。</w:t>
      </w:r>
    </w:p>
    <w:p>
      <w:pPr>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 xml:space="preserve">第三十条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自律等级信息由</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w:t>
      </w:r>
      <w:r>
        <w:rPr>
          <w:rFonts w:hint="eastAsia" w:ascii="仿宋" w:hAnsi="仿宋" w:eastAsia="仿宋" w:cs="仿宋"/>
          <w:color w:val="000000" w:themeColor="text1"/>
          <w:sz w:val="28"/>
          <w:szCs w:val="28"/>
          <w:lang w:val="en-US" w:eastAsia="zh-CN"/>
          <w14:textFill>
            <w14:solidFill>
              <w14:schemeClr w14:val="tx1"/>
            </w14:solidFill>
          </w14:textFill>
        </w:rPr>
        <w:t>在会员</w:t>
      </w:r>
      <w:r>
        <w:rPr>
          <w:rFonts w:hint="eastAsia" w:ascii="仿宋" w:hAnsi="仿宋" w:eastAsia="仿宋" w:cs="仿宋"/>
          <w:color w:val="000000" w:themeColor="text1"/>
          <w:sz w:val="28"/>
          <w:szCs w:val="28"/>
          <w14:textFill>
            <w14:solidFill>
              <w14:schemeClr w14:val="tx1"/>
            </w14:solidFill>
          </w14:textFill>
        </w:rPr>
        <w:t>网站</w:t>
      </w:r>
      <w:r>
        <w:rPr>
          <w:rFonts w:hint="eastAsia" w:ascii="仿宋" w:hAnsi="仿宋" w:eastAsia="仿宋" w:cs="仿宋"/>
          <w:color w:val="000000" w:themeColor="text1"/>
          <w:sz w:val="28"/>
          <w:szCs w:val="28"/>
          <w:lang w:val="en-US" w:eastAsia="zh-CN"/>
          <w14:textFill>
            <w14:solidFill>
              <w14:schemeClr w14:val="tx1"/>
            </w14:solidFill>
          </w14:textFill>
        </w:rPr>
        <w:t>上</w:t>
      </w:r>
      <w:r>
        <w:rPr>
          <w:rFonts w:hint="eastAsia" w:ascii="仿宋" w:hAnsi="仿宋" w:eastAsia="仿宋" w:cs="仿宋"/>
          <w:color w:val="000000" w:themeColor="text1"/>
          <w:sz w:val="28"/>
          <w:szCs w:val="28"/>
          <w14:textFill>
            <w14:solidFill>
              <w14:schemeClr w14:val="tx1"/>
            </w14:solidFill>
          </w14:textFill>
        </w:rPr>
        <w:t>公开，实时公布自律信息修复情况，</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可</w:t>
      </w:r>
      <w:r>
        <w:rPr>
          <w:rFonts w:hint="eastAsia" w:ascii="仿宋" w:hAnsi="仿宋" w:eastAsia="仿宋" w:cs="仿宋"/>
          <w:color w:val="000000" w:themeColor="text1"/>
          <w:sz w:val="28"/>
          <w:szCs w:val="28"/>
          <w:lang w:val="en-US" w:eastAsia="zh-CN"/>
          <w14:textFill>
            <w14:solidFill>
              <w14:schemeClr w14:val="tx1"/>
            </w14:solidFill>
          </w14:textFill>
        </w:rPr>
        <w:t>随时</w:t>
      </w:r>
      <w:r>
        <w:rPr>
          <w:rFonts w:hint="eastAsia" w:ascii="仿宋" w:hAnsi="仿宋" w:eastAsia="仿宋" w:cs="仿宋"/>
          <w:color w:val="000000" w:themeColor="text1"/>
          <w:sz w:val="28"/>
          <w:szCs w:val="28"/>
          <w14:textFill>
            <w14:solidFill>
              <w14:schemeClr w14:val="tx1"/>
            </w14:solidFill>
          </w14:textFill>
        </w:rPr>
        <w:t>直接查阅公示类自律信息。</w:t>
      </w:r>
    </w:p>
    <w:p>
      <w:pPr>
        <w:spacing w:before="156" w:beforeLines="50" w:after="156" w:afterLines="50" w:line="360" w:lineRule="auto"/>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第六章 监督管理</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第三十一条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会员</w:t>
      </w:r>
      <w:r>
        <w:rPr>
          <w:rFonts w:hint="eastAsia" w:ascii="仿宋" w:hAnsi="仿宋" w:eastAsia="仿宋" w:cs="仿宋"/>
          <w:color w:val="000000" w:themeColor="text1"/>
          <w:sz w:val="28"/>
          <w:szCs w:val="28"/>
          <w14:textFill>
            <w14:solidFill>
              <w14:schemeClr w14:val="tx1"/>
            </w14:solidFill>
          </w14:textFill>
        </w:rPr>
        <w:t>出现不良执业行为被</w:t>
      </w:r>
      <w:r>
        <w:rPr>
          <w:rFonts w:hint="eastAsia" w:ascii="仿宋" w:hAnsi="仿宋" w:eastAsia="仿宋" w:cs="仿宋"/>
          <w:color w:val="000000" w:themeColor="text1"/>
          <w:sz w:val="28"/>
          <w:szCs w:val="28"/>
          <w:lang w:val="en-US" w:eastAsia="zh-CN"/>
          <w14:textFill>
            <w14:solidFill>
              <w14:schemeClr w14:val="tx1"/>
            </w14:solidFill>
          </w14:textFill>
        </w:rPr>
        <w:t>政府职能部门</w:t>
      </w:r>
      <w:r>
        <w:rPr>
          <w:rFonts w:hint="eastAsia" w:ascii="仿宋" w:hAnsi="仿宋" w:eastAsia="仿宋" w:cs="仿宋"/>
          <w:color w:val="000000" w:themeColor="text1"/>
          <w:sz w:val="28"/>
          <w:szCs w:val="28"/>
          <w14:textFill>
            <w14:solidFill>
              <w14:schemeClr w14:val="tx1"/>
            </w14:solidFill>
          </w14:textFill>
        </w:rPr>
        <w:t>通报批评、</w:t>
      </w:r>
      <w:r>
        <w:rPr>
          <w:rFonts w:hint="eastAsia" w:ascii="仿宋" w:hAnsi="仿宋" w:eastAsia="仿宋" w:cs="仿宋"/>
          <w:color w:val="000000" w:themeColor="text1"/>
          <w:sz w:val="28"/>
          <w:szCs w:val="28"/>
          <w:lang w:val="en-US" w:eastAsia="zh-CN"/>
          <w14:textFill>
            <w14:solidFill>
              <w14:schemeClr w14:val="tx1"/>
            </w14:solidFill>
          </w14:textFill>
        </w:rPr>
        <w:t>或</w:t>
      </w:r>
      <w:r>
        <w:rPr>
          <w:rFonts w:hint="eastAsia" w:ascii="仿宋" w:hAnsi="仿宋" w:eastAsia="仿宋" w:cs="仿宋"/>
          <w:color w:val="000000" w:themeColor="text1"/>
          <w:sz w:val="28"/>
          <w:szCs w:val="28"/>
          <w14:textFill>
            <w14:solidFill>
              <w14:schemeClr w14:val="tx1"/>
            </w14:solidFill>
          </w14:textFill>
        </w:rPr>
        <w:t>受到行政处罚、</w:t>
      </w:r>
      <w:r>
        <w:rPr>
          <w:rFonts w:hint="eastAsia" w:ascii="仿宋" w:hAnsi="仿宋" w:eastAsia="仿宋" w:cs="仿宋"/>
          <w:color w:val="000000" w:themeColor="text1"/>
          <w:sz w:val="28"/>
          <w:szCs w:val="28"/>
          <w:lang w:val="en-US" w:eastAsia="zh-CN"/>
          <w14:textFill>
            <w14:solidFill>
              <w14:schemeClr w14:val="tx1"/>
            </w14:solidFill>
          </w14:textFill>
        </w:rPr>
        <w:t>或</w:t>
      </w:r>
      <w:r>
        <w:rPr>
          <w:rFonts w:hint="eastAsia" w:ascii="仿宋" w:hAnsi="仿宋" w:eastAsia="仿宋" w:cs="仿宋"/>
          <w:color w:val="000000" w:themeColor="text1"/>
          <w:sz w:val="28"/>
          <w:szCs w:val="28"/>
          <w14:textFill>
            <w14:solidFill>
              <w14:schemeClr w14:val="tx1"/>
            </w14:solidFill>
          </w14:textFill>
        </w:rPr>
        <w:t>被追究刑事责任的，在知道或者应当知道之日起三个月内未如实申报的，按评价标准加倍扣分。</w:t>
      </w:r>
    </w:p>
    <w:p>
      <w:pPr>
        <w:spacing w:line="360" w:lineRule="auto"/>
        <w:ind w:firstLine="562" w:firstLineChars="200"/>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第三十二条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应当将自律信息评价工作纳入本协会的廉政风险防控体系，加强参与自律信息评价工作的有关专家和工作人员（以下称评价人员）的廉政教育，有效预防违法违纪行为发生。</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第三十三条</w:t>
      </w:r>
      <w:r>
        <w:rPr>
          <w:rFonts w:hint="eastAsia" w:ascii="仿宋" w:hAnsi="仿宋" w:eastAsia="仿宋" w:cs="仿宋"/>
          <w:color w:val="000000" w:themeColor="text1"/>
          <w:sz w:val="28"/>
          <w:szCs w:val="28"/>
          <w14:textFill>
            <w14:solidFill>
              <w14:schemeClr w14:val="tx1"/>
            </w14:solidFill>
          </w14:textFill>
        </w:rPr>
        <w:t xml:space="preserve"> 参与评价的人员应遵守国家相关法律法规，在自律信息评价工作中认真履行职责，秉公办事，廉洁自律。不得弄虚作假、滥用职权、徇私舞弊，违者依照有关规定处理。</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协会收到评价人员涉嫌违反工作纪律投诉举报的，应当予以核实并有书面处理结果。</w:t>
      </w:r>
    </w:p>
    <w:p>
      <w:pPr>
        <w:spacing w:before="156" w:beforeLines="50" w:after="156" w:afterLines="50" w:line="360" w:lineRule="auto"/>
        <w:jc w:val="center"/>
        <w:rPr>
          <w:rFonts w:ascii="黑体" w:hAnsi="黑体" w:eastAsia="黑体" w:cs="黑体"/>
          <w:b/>
          <w:bCs/>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第六章 附则</w:t>
      </w:r>
    </w:p>
    <w:p>
      <w:pPr>
        <w:spacing w:line="360" w:lineRule="auto"/>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第三十四条</w:t>
      </w: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本手册</w:t>
      </w:r>
      <w:r>
        <w:rPr>
          <w:rFonts w:hint="eastAsia" w:ascii="仿宋" w:hAnsi="仿宋" w:eastAsia="仿宋" w:cs="仿宋"/>
          <w:color w:val="000000" w:themeColor="text1"/>
          <w:sz w:val="28"/>
          <w:szCs w:val="28"/>
          <w:lang w:val="en-US" w:eastAsia="zh-CN"/>
          <w14:textFill>
            <w14:solidFill>
              <w14:schemeClr w14:val="tx1"/>
            </w14:solidFill>
          </w14:textFill>
        </w:rPr>
        <w:t>于2024年6月1日生效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自生效日起至2024年12月31日为试行期</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原则上不进入会员实质性奖罚分和自律评价奖罚制度</w:t>
      </w:r>
      <w:r>
        <w:rPr>
          <w:rFonts w:hint="eastAsia" w:ascii="仿宋" w:hAnsi="仿宋" w:eastAsia="仿宋" w:cs="仿宋"/>
          <w:color w:val="000000" w:themeColor="text1"/>
          <w:sz w:val="28"/>
          <w:szCs w:val="28"/>
          <w14:textFill>
            <w14:solidFill>
              <w14:schemeClr w14:val="tx1"/>
            </w14:solidFill>
          </w14:textFill>
        </w:rPr>
        <w:t>。试行期</w:t>
      </w:r>
      <w:r>
        <w:rPr>
          <w:rFonts w:hint="eastAsia" w:ascii="仿宋" w:hAnsi="仿宋" w:eastAsia="仿宋" w:cs="仿宋"/>
          <w:color w:val="000000" w:themeColor="text1"/>
          <w:sz w:val="28"/>
          <w:szCs w:val="28"/>
          <w:lang w:val="en-US" w:eastAsia="zh-CN"/>
          <w14:textFill>
            <w14:solidFill>
              <w14:schemeClr w14:val="tx1"/>
            </w14:solidFill>
          </w14:textFill>
        </w:rPr>
        <w:t>满之前，本协会组织专项研讨，依据试行情况，修正部分内容，颁布正式的《福建省房地产估价机构自律管理手册》，将于2025年1月1日开始实施，执行实质性奖罚分及自律评价奖罚阶段。</w:t>
      </w:r>
    </w:p>
    <w:p>
      <w:pPr>
        <w:spacing w:line="360" w:lineRule="auto"/>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 xml:space="preserve">第三十五条 </w:t>
      </w:r>
      <w:r>
        <w:rPr>
          <w:rFonts w:hint="eastAsia" w:ascii="仿宋" w:hAnsi="仿宋" w:eastAsia="仿宋" w:cs="仿宋"/>
          <w:color w:val="000000" w:themeColor="text1"/>
          <w:sz w:val="28"/>
          <w:szCs w:val="28"/>
          <w14:textFill>
            <w14:solidFill>
              <w14:schemeClr w14:val="tx1"/>
            </w14:solidFill>
          </w14:textFill>
        </w:rPr>
        <w:t>本手册及附件</w:t>
      </w:r>
      <w:r>
        <w:rPr>
          <w:rFonts w:hint="eastAsia" w:ascii="仿宋" w:hAnsi="仿宋" w:eastAsia="仿宋" w:cs="仿宋"/>
          <w:color w:val="000000" w:themeColor="text1"/>
          <w:sz w:val="28"/>
          <w:szCs w:val="28"/>
          <w:lang w:val="en-US" w:eastAsia="zh-CN"/>
          <w14:textFill>
            <w14:solidFill>
              <w14:schemeClr w14:val="tx1"/>
            </w14:solidFill>
          </w14:textFill>
        </w:rPr>
        <w:t>为一整体，互为解释，具有同等效力，</w:t>
      </w:r>
      <w:r>
        <w:rPr>
          <w:rFonts w:hint="eastAsia" w:ascii="仿宋" w:hAnsi="仿宋" w:eastAsia="仿宋" w:cs="仿宋"/>
          <w:color w:val="000000" w:themeColor="text1"/>
          <w:sz w:val="28"/>
          <w:szCs w:val="28"/>
          <w14:textFill>
            <w14:solidFill>
              <w14:schemeClr w14:val="tx1"/>
            </w14:solidFill>
          </w14:textFill>
        </w:rPr>
        <w:t>由</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14:textFill>
            <w14:solidFill>
              <w14:schemeClr w14:val="tx1"/>
            </w14:solidFill>
          </w14:textFill>
        </w:rPr>
        <w:t>协会负责解释</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p>
    <w:p>
      <w:pPr>
        <w:spacing w:line="360" w:lineRule="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黑体" w:hAnsi="黑体" w:eastAsia="黑体" w:cs="黑体"/>
          <w:b/>
          <w:bCs/>
          <w:color w:val="000000" w:themeColor="text1"/>
          <w:sz w:val="28"/>
          <w:szCs w:val="28"/>
          <w:lang w:val="en-US" w:eastAsia="zh-CN"/>
          <w14:textFill>
            <w14:solidFill>
              <w14:schemeClr w14:val="tx1"/>
            </w14:solidFill>
          </w14:textFill>
        </w:rPr>
        <w:t>附件：</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《协会会员优秀执业行为自律评价指标体系》</w:t>
      </w:r>
    </w:p>
    <w:p>
      <w:pPr>
        <w:spacing w:line="360" w:lineRule="auto"/>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2.《协会机构会员不良执业行为自律评价指标体系》</w:t>
      </w:r>
    </w:p>
    <w:p>
      <w:pPr>
        <w:spacing w:line="360" w:lineRule="auto"/>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3.《协会个人会员不良执业行为自律评价指标体系》</w:t>
      </w:r>
      <w:r>
        <w:rPr>
          <w:rFonts w:hint="eastAsia" w:ascii="仿宋" w:hAnsi="仿宋" w:eastAsia="仿宋" w:cs="仿宋"/>
          <w:color w:val="000000" w:themeColor="text1"/>
          <w:sz w:val="28"/>
          <w:szCs w:val="28"/>
          <w14:textFill>
            <w14:solidFill>
              <w14:schemeClr w14:val="tx1"/>
            </w14:solidFill>
          </w14:textFill>
        </w:rPr>
        <w:br w:type="page"/>
      </w:r>
    </w:p>
    <w:p>
      <w:pPr>
        <w:spacing w:line="480" w:lineRule="auto"/>
        <w:ind w:firstLine="562" w:firstLineChars="200"/>
        <w:rPr>
          <w:rFonts w:ascii="宋体" w:hAnsi="宋体" w:eastAsia="宋体" w:cs="宋体"/>
          <w:b/>
          <w:bCs/>
          <w:color w:val="000000" w:themeColor="text1"/>
          <w:spacing w:val="-2"/>
          <w:sz w:val="24"/>
          <w:szCs w:val="24"/>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附件</w:t>
      </w:r>
      <w:r>
        <w:rPr>
          <w:rFonts w:hint="eastAsia" w:ascii="黑体" w:hAnsi="黑体" w:eastAsia="黑体" w:cs="黑体"/>
          <w:b/>
          <w:bCs/>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p>
    <w:p>
      <w:pPr>
        <w:spacing w:before="210" w:line="220" w:lineRule="auto"/>
        <w:jc w:val="center"/>
        <w:rPr>
          <w:rFonts w:ascii="宋体" w:hAnsi="宋体" w:eastAsia="宋体" w:cs="宋体"/>
          <w:b/>
          <w:bCs/>
          <w:color w:val="000000" w:themeColor="text1"/>
          <w:spacing w:val="4"/>
          <w:sz w:val="30"/>
          <w:szCs w:val="30"/>
          <w14:textFill>
            <w14:solidFill>
              <w14:schemeClr w14:val="tx1"/>
            </w14:solidFill>
          </w14:textFill>
        </w:rPr>
      </w:pPr>
      <w:r>
        <w:rPr>
          <w:rFonts w:hint="eastAsia" w:ascii="宋体" w:hAnsi="宋体" w:eastAsia="宋体" w:cs="宋体"/>
          <w:b/>
          <w:bCs/>
          <w:color w:val="000000" w:themeColor="text1"/>
          <w:spacing w:val="4"/>
          <w:sz w:val="30"/>
          <w:szCs w:val="30"/>
          <w14:textFill>
            <w14:solidFill>
              <w14:schemeClr w14:val="tx1"/>
            </w14:solidFill>
          </w14:textFill>
        </w:rPr>
        <w:t xml:space="preserve"> </w:t>
      </w:r>
      <w:r>
        <w:rPr>
          <w:rFonts w:hint="eastAsia" w:ascii="宋体" w:hAnsi="宋体" w:eastAsia="宋体" w:cs="宋体"/>
          <w:b/>
          <w:bCs/>
          <w:color w:val="000000" w:themeColor="text1"/>
          <w:spacing w:val="4"/>
          <w:sz w:val="30"/>
          <w:szCs w:val="30"/>
          <w:lang w:val="en-US" w:eastAsia="zh-CN"/>
          <w14:textFill>
            <w14:solidFill>
              <w14:schemeClr w14:val="tx1"/>
            </w14:solidFill>
          </w14:textFill>
        </w:rPr>
        <w:t xml:space="preserve">    协会会员</w:t>
      </w:r>
      <w:r>
        <w:rPr>
          <w:rFonts w:hint="eastAsia" w:ascii="宋体" w:hAnsi="宋体" w:eastAsia="宋体" w:cs="宋体"/>
          <w:b/>
          <w:bCs/>
          <w:color w:val="000000" w:themeColor="text1"/>
          <w:spacing w:val="4"/>
          <w:sz w:val="30"/>
          <w:szCs w:val="30"/>
          <w14:textFill>
            <w14:solidFill>
              <w14:schemeClr w14:val="tx1"/>
            </w14:solidFill>
          </w14:textFill>
        </w:rPr>
        <w:t>优秀执业行为自律评价指标体系</w:t>
      </w:r>
    </w:p>
    <w:p>
      <w:pPr>
        <w:spacing w:line="117" w:lineRule="exact"/>
        <w:rPr>
          <w:color w:val="000000" w:themeColor="text1"/>
          <w14:textFill>
            <w14:solidFill>
              <w14:schemeClr w14:val="tx1"/>
            </w14:solidFill>
          </w14:textFill>
        </w:rPr>
      </w:pPr>
    </w:p>
    <w:tbl>
      <w:tblPr>
        <w:tblStyle w:val="6"/>
        <w:tblpPr w:leftFromText="180" w:rightFromText="180" w:vertAnchor="text" w:horzAnchor="page" w:tblpX="1762" w:tblpY="75"/>
        <w:tblOverlap w:val="never"/>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7"/>
        <w:gridCol w:w="5363"/>
        <w:gridCol w:w="1205"/>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117"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ind w:left="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序号</w:t>
            </w:r>
          </w:p>
        </w:tc>
        <w:tc>
          <w:tcPr>
            <w:tcW w:w="5363" w:type="dxa"/>
            <w:vMerge w:val="restart"/>
            <w:tcBorders>
              <w:bottom w:val="nil"/>
            </w:tcBorders>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诚信行为</w:t>
            </w:r>
          </w:p>
        </w:tc>
        <w:tc>
          <w:tcPr>
            <w:tcW w:w="2379" w:type="dxa"/>
            <w:gridSpan w:val="2"/>
          </w:tcPr>
          <w:p>
            <w:pPr>
              <w:keepNext w:val="0"/>
              <w:keepLines w:val="0"/>
              <w:pageBreakBefore w:val="0"/>
              <w:widowControl/>
              <w:kinsoku w:val="0"/>
              <w:wordWrap/>
              <w:overflowPunct/>
              <w:topLinePunct w:val="0"/>
              <w:autoSpaceDE w:val="0"/>
              <w:autoSpaceDN w:val="0"/>
              <w:bidi w:val="0"/>
              <w:adjustRightInd w:val="0"/>
              <w:snapToGrid w:val="0"/>
              <w:spacing w:before="112" w:line="340" w:lineRule="exact"/>
              <w:ind w:left="267"/>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加分标准(分/起)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1117"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仿宋" w:hAnsi="仿宋" w:eastAsia="仿宋" w:cs="仿宋"/>
                <w:color w:val="000000" w:themeColor="text1"/>
                <w14:textFill>
                  <w14:solidFill>
                    <w14:schemeClr w14:val="tx1"/>
                  </w14:solidFill>
                </w14:textFill>
              </w:rPr>
            </w:pPr>
          </w:p>
        </w:tc>
        <w:tc>
          <w:tcPr>
            <w:tcW w:w="5363" w:type="dxa"/>
            <w:vMerge w:val="continue"/>
            <w:tcBorders>
              <w:top w:val="nil"/>
            </w:tcBorders>
          </w:tcPr>
          <w:p>
            <w:pPr>
              <w:keepNext w:val="0"/>
              <w:keepLines w:val="0"/>
              <w:pageBreakBefore w:val="0"/>
              <w:widowControl/>
              <w:kinsoku w:val="0"/>
              <w:wordWrap/>
              <w:overflowPunct/>
              <w:topLinePunct w:val="0"/>
              <w:autoSpaceDE w:val="0"/>
              <w:autoSpaceDN w:val="0"/>
              <w:bidi w:val="0"/>
              <w:adjustRightInd w:val="0"/>
              <w:snapToGrid w:val="0"/>
              <w:spacing w:line="340" w:lineRule="exact"/>
              <w:textAlignment w:val="baseline"/>
              <w:rPr>
                <w:rFonts w:ascii="仿宋" w:hAnsi="仿宋" w:eastAsia="仿宋" w:cs="仿宋"/>
                <w:color w:val="000000" w:themeColor="text1"/>
                <w14:textFill>
                  <w14:solidFill>
                    <w14:schemeClr w14:val="tx1"/>
                  </w14:solidFill>
                </w14:textFill>
              </w:rPr>
            </w:pP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16" w:line="340" w:lineRule="exact"/>
              <w:ind w:left="237"/>
              <w:jc w:val="both"/>
              <w:textAlignment w:val="baseline"/>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机构</w:t>
            </w:r>
            <w:r>
              <w:rPr>
                <w:rFonts w:hint="eastAsia" w:ascii="仿宋" w:hAnsi="仿宋" w:eastAsia="仿宋" w:cs="仿宋"/>
                <w:color w:val="000000" w:themeColor="text1"/>
                <w:spacing w:val="-2"/>
                <w:lang w:val="en-US" w:eastAsia="zh-CN"/>
                <w14:textFill>
                  <w14:solidFill>
                    <w14:schemeClr w14:val="tx1"/>
                  </w14:solidFill>
                </w14:textFill>
              </w:rPr>
              <w:t>会员</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19" w:line="340" w:lineRule="exact"/>
              <w:ind w:firstLine="232" w:firstLineChars="100"/>
              <w:textAlignment w:val="baseline"/>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11"/>
                <w:lang w:val="en-US" w:eastAsia="zh-CN"/>
                <w14:textFill>
                  <w14:solidFill>
                    <w14:schemeClr w14:val="tx1"/>
                  </w14:solidFill>
                </w14:textFill>
              </w:rPr>
              <w:t>个人会员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859" w:type="dxa"/>
            <w:gridSpan w:val="4"/>
          </w:tcPr>
          <w:p>
            <w:pPr>
              <w:keepNext w:val="0"/>
              <w:keepLines w:val="0"/>
              <w:pageBreakBefore w:val="0"/>
              <w:widowControl/>
              <w:kinsoku w:val="0"/>
              <w:wordWrap/>
              <w:overflowPunct/>
              <w:topLinePunct w:val="0"/>
              <w:autoSpaceDE w:val="0"/>
              <w:autoSpaceDN w:val="0"/>
              <w:bidi w:val="0"/>
              <w:adjustRightInd w:val="0"/>
              <w:snapToGrid w:val="0"/>
              <w:spacing w:before="107"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1"/>
                <w14:textFill>
                  <w14:solidFill>
                    <w14:schemeClr w14:val="tx1"/>
                  </w14:solidFill>
                </w14:textFill>
              </w:rPr>
              <w:t>荣誉类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151"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107" w:line="340" w:lineRule="exact"/>
              <w:ind w:left="20"/>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从事房地产估价活动获得国家表彰</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7</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108" w:line="340" w:lineRule="exact"/>
              <w:ind w:left="20"/>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从事房地产估价活动获得省、市政府表彰</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5</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108" w:line="340" w:lineRule="exact"/>
              <w:ind w:left="20"/>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从事房地产估价活动获得行业主管部门表彰</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53"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143"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98" w:line="340" w:lineRule="exact"/>
              <w:ind w:left="20"/>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从事房地产估价活动获得行业协会表彰</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43"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43"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8859" w:type="dxa"/>
            <w:gridSpan w:val="4"/>
          </w:tcPr>
          <w:p>
            <w:pPr>
              <w:keepNext w:val="0"/>
              <w:keepLines w:val="0"/>
              <w:pageBreakBefore w:val="0"/>
              <w:widowControl/>
              <w:kinsoku w:val="0"/>
              <w:wordWrap/>
              <w:overflowPunct/>
              <w:topLinePunct w:val="0"/>
              <w:autoSpaceDE w:val="0"/>
              <w:autoSpaceDN w:val="0"/>
              <w:bidi w:val="0"/>
              <w:adjustRightInd w:val="0"/>
              <w:snapToGrid w:val="0"/>
              <w:spacing w:before="119"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2"/>
                <w14:textFill>
                  <w14:solidFill>
                    <w14:schemeClr w14:val="tx1"/>
                  </w14:solidFill>
                </w14:textFill>
              </w:rPr>
              <w:t>公益类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146"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101" w:line="340" w:lineRule="exact"/>
              <w:ind w:left="20"/>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以估价专业技术或</w:t>
            </w:r>
            <w:r>
              <w:rPr>
                <w:rFonts w:hint="eastAsia" w:ascii="仿宋" w:hAnsi="仿宋" w:eastAsia="仿宋" w:cs="仿宋"/>
                <w:color w:val="000000" w:themeColor="text1"/>
                <w:lang w:val="en-US" w:eastAsia="zh-CN"/>
                <w14:textFill>
                  <w14:solidFill>
                    <w14:schemeClr w14:val="tx1"/>
                  </w14:solidFill>
                </w14:textFill>
              </w:rPr>
              <w:t>估价</w:t>
            </w:r>
            <w:r>
              <w:rPr>
                <w:rFonts w:hint="eastAsia" w:ascii="仿宋" w:hAnsi="仿宋" w:eastAsia="仿宋" w:cs="仿宋"/>
                <w:color w:val="000000" w:themeColor="text1"/>
                <w14:textFill>
                  <w14:solidFill>
                    <w14:schemeClr w14:val="tx1"/>
                  </w14:solidFill>
                </w14:textFill>
              </w:rPr>
              <w:t>活动服务于社会公益事业</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14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1-2</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14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859" w:type="dxa"/>
            <w:gridSpan w:val="4"/>
          </w:tcPr>
          <w:p>
            <w:pPr>
              <w:keepNext w:val="0"/>
              <w:keepLines w:val="0"/>
              <w:pageBreakBefore w:val="0"/>
              <w:widowControl/>
              <w:kinsoku w:val="0"/>
              <w:wordWrap/>
              <w:overflowPunct/>
              <w:topLinePunct w:val="0"/>
              <w:autoSpaceDE w:val="0"/>
              <w:autoSpaceDN w:val="0"/>
              <w:bidi w:val="0"/>
              <w:adjustRightInd w:val="0"/>
              <w:snapToGrid w:val="0"/>
              <w:spacing w:before="111"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1"/>
                <w14:textFill>
                  <w14:solidFill>
                    <w14:schemeClr w14:val="tx1"/>
                  </w14:solidFill>
                </w14:textFill>
              </w:rPr>
              <w:t>调研课题类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52" w:line="340" w:lineRule="exact"/>
              <w:ind w:left="20"/>
              <w:textAlignment w:val="baseline"/>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积极参与政府部门或行业协会开展房地产估价行</w:t>
            </w:r>
            <w:r>
              <w:rPr>
                <w:rFonts w:hint="eastAsia" w:ascii="仿宋" w:hAnsi="仿宋" w:eastAsia="仿宋" w:cs="仿宋"/>
                <w:color w:val="000000" w:themeColor="text1"/>
                <w:spacing w:val="16"/>
                <w14:textFill>
                  <w14:solidFill>
                    <w14:schemeClr w14:val="tx1"/>
                  </w14:solidFill>
                </w14:textFill>
              </w:rPr>
              <w:t>业调研或课题研究，且调研(研究)成果被国家</w:t>
            </w:r>
            <w:r>
              <w:rPr>
                <w:rFonts w:hint="eastAsia" w:ascii="仿宋" w:hAnsi="仿宋" w:eastAsia="仿宋" w:cs="仿宋"/>
                <w:color w:val="000000" w:themeColor="text1"/>
                <w:spacing w:val="16"/>
                <w:lang w:val="en-US" w:eastAsia="zh-CN"/>
                <w14:textFill>
                  <w14:solidFill>
                    <w14:schemeClr w14:val="tx1"/>
                  </w14:solidFill>
                </w14:textFill>
              </w:rPr>
              <w:t>行政管理</w:t>
            </w:r>
            <w:r>
              <w:rPr>
                <w:rFonts w:hint="eastAsia" w:ascii="仿宋" w:hAnsi="仿宋" w:eastAsia="仿宋" w:cs="仿宋"/>
                <w:color w:val="000000" w:themeColor="text1"/>
                <w:spacing w:val="10"/>
                <w14:textFill>
                  <w14:solidFill>
                    <w14:schemeClr w14:val="tx1"/>
                  </w14:solidFill>
                </w14:textFill>
              </w:rPr>
              <w:t>部门</w:t>
            </w:r>
            <w:r>
              <w:rPr>
                <w:rFonts w:hint="eastAsia" w:ascii="仿宋" w:hAnsi="仿宋" w:eastAsia="仿宋" w:cs="仿宋"/>
                <w:color w:val="000000" w:themeColor="text1"/>
                <w:spacing w:val="10"/>
                <w:lang w:val="en-US" w:eastAsia="zh-CN"/>
                <w14:textFill>
                  <w14:solidFill>
                    <w14:schemeClr w14:val="tx1"/>
                  </w14:solidFill>
                </w14:textFill>
              </w:rPr>
              <w:t>采用或验收合格</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52" w:line="340" w:lineRule="exact"/>
              <w:ind w:left="20" w:right="11"/>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积极参与政府部门或行业协会开展房地产估价行</w:t>
            </w:r>
            <w:r>
              <w:rPr>
                <w:rFonts w:hint="eastAsia" w:ascii="仿宋" w:hAnsi="仿宋" w:eastAsia="仿宋" w:cs="仿宋"/>
                <w:color w:val="000000" w:themeColor="text1"/>
                <w:spacing w:val="16"/>
                <w14:textFill>
                  <w14:solidFill>
                    <w14:schemeClr w14:val="tx1"/>
                  </w14:solidFill>
                </w14:textFill>
              </w:rPr>
              <w:t>业调研或课题研究，且调研(研究)成果被省</w:t>
            </w:r>
            <w:r>
              <w:rPr>
                <w:rFonts w:hint="eastAsia" w:ascii="仿宋" w:hAnsi="仿宋" w:eastAsia="仿宋" w:cs="仿宋"/>
                <w:color w:val="000000" w:themeColor="text1"/>
                <w:spacing w:val="15"/>
                <w14:textFill>
                  <w14:solidFill>
                    <w14:schemeClr w14:val="tx1"/>
                  </w14:solidFill>
                </w14:textFill>
              </w:rPr>
              <w:t>、市</w:t>
            </w:r>
            <w:r>
              <w:rPr>
                <w:rFonts w:hint="eastAsia" w:ascii="仿宋" w:hAnsi="仿宋" w:eastAsia="仿宋" w:cs="仿宋"/>
                <w:color w:val="000000" w:themeColor="text1"/>
                <w:spacing w:val="9"/>
                <w14:textFill>
                  <w14:solidFill>
                    <w14:schemeClr w14:val="tx1"/>
                  </w14:solidFill>
                </w14:textFill>
              </w:rPr>
              <w:t>政府或估价行政管理部门采用</w:t>
            </w:r>
            <w:r>
              <w:rPr>
                <w:rFonts w:hint="eastAsia" w:ascii="仿宋" w:hAnsi="仿宋" w:eastAsia="仿宋" w:cs="仿宋"/>
                <w:color w:val="000000" w:themeColor="text1"/>
                <w:spacing w:val="10"/>
                <w:lang w:val="en-US" w:eastAsia="zh-CN"/>
                <w14:textFill>
                  <w14:solidFill>
                    <w14:schemeClr w14:val="tx1"/>
                  </w14:solidFill>
                </w14:textFill>
              </w:rPr>
              <w:t>或验收合格</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ind w:left="134"/>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5363" w:type="dxa"/>
          </w:tcPr>
          <w:p>
            <w:pPr>
              <w:keepNext w:val="0"/>
              <w:keepLines w:val="0"/>
              <w:pageBreakBefore w:val="0"/>
              <w:widowControl/>
              <w:kinsoku w:val="0"/>
              <w:wordWrap/>
              <w:overflowPunct/>
              <w:topLinePunct w:val="0"/>
              <w:autoSpaceDE w:val="0"/>
              <w:autoSpaceDN w:val="0"/>
              <w:bidi w:val="0"/>
              <w:adjustRightInd w:val="0"/>
              <w:snapToGrid w:val="0"/>
              <w:spacing w:before="35" w:line="340" w:lineRule="exact"/>
              <w:ind w:left="20" w:right="11"/>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积极参与政府部门或行业协会开展房地产估价行</w:t>
            </w:r>
            <w:r>
              <w:rPr>
                <w:rFonts w:hint="eastAsia" w:ascii="仿宋" w:hAnsi="仿宋" w:eastAsia="仿宋" w:cs="仿宋"/>
                <w:color w:val="000000" w:themeColor="text1"/>
                <w:spacing w:val="16"/>
                <w14:textFill>
                  <w14:solidFill>
                    <w14:schemeClr w14:val="tx1"/>
                  </w14:solidFill>
                </w14:textFill>
              </w:rPr>
              <w:t>业调研或课题研究，且调研(研究)成果被全国、省</w:t>
            </w:r>
            <w:r>
              <w:rPr>
                <w:rFonts w:hint="eastAsia" w:ascii="仿宋" w:hAnsi="仿宋" w:eastAsia="仿宋" w:cs="仿宋"/>
                <w:color w:val="000000" w:themeColor="text1"/>
                <w:spacing w:val="15"/>
                <w14:textFill>
                  <w14:solidFill>
                    <w14:schemeClr w14:val="tx1"/>
                  </w14:solidFill>
                </w14:textFill>
              </w:rPr>
              <w:t>、设区市</w:t>
            </w:r>
            <w:r>
              <w:rPr>
                <w:rFonts w:hint="eastAsia" w:ascii="仿宋" w:hAnsi="仿宋" w:eastAsia="仿宋" w:cs="仿宋"/>
                <w:color w:val="000000" w:themeColor="text1"/>
                <w:spacing w:val="11"/>
                <w14:textFill>
                  <w14:solidFill>
                    <w14:schemeClr w14:val="tx1"/>
                  </w14:solidFill>
                </w14:textFill>
              </w:rPr>
              <w:t>业协会采用</w:t>
            </w:r>
            <w:r>
              <w:rPr>
                <w:rFonts w:hint="eastAsia" w:ascii="仿宋" w:hAnsi="仿宋" w:eastAsia="仿宋" w:cs="仿宋"/>
                <w:color w:val="000000" w:themeColor="text1"/>
                <w:spacing w:val="10"/>
                <w:lang w:val="en-US" w:eastAsia="zh-CN"/>
                <w14:textFill>
                  <w14:solidFill>
                    <w14:schemeClr w14:val="tx1"/>
                  </w14:solidFill>
                </w14:textFill>
              </w:rPr>
              <w:t>或验收合格</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line="340" w:lineRule="exact"/>
              <w:jc w:val="center"/>
              <w:textAlignment w:val="baseline"/>
              <w:rPr>
                <w:rFonts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859" w:type="dxa"/>
            <w:gridSpan w:val="4"/>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1"/>
                <w14:textFill>
                  <w14:solidFill>
                    <w14:schemeClr w14:val="tx1"/>
                  </w14:solidFill>
                </w14:textFill>
              </w:rPr>
              <w:t>社会职务类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9</w:t>
            </w:r>
          </w:p>
        </w:tc>
        <w:tc>
          <w:tcPr>
            <w:tcW w:w="536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5" w:line="340" w:lineRule="exact"/>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机构人员担任省级及以上国家机关、法律部门、行政主管部门以及军委的顾问、专家</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3</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10</w:t>
            </w:r>
          </w:p>
        </w:tc>
        <w:tc>
          <w:tcPr>
            <w:tcW w:w="536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5" w:line="340" w:lineRule="exact"/>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机构人员担任设区市级国家机关、法律部门、行政主管部门以及军区的顾问、专家</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2</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17"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11</w:t>
            </w:r>
          </w:p>
        </w:tc>
        <w:tc>
          <w:tcPr>
            <w:tcW w:w="536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55" w:line="340" w:lineRule="exact"/>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机构人员担任区县级国家机关、法律部门、行政主管部门以及军区的顾问、专家</w:t>
            </w:r>
          </w:p>
        </w:tc>
        <w:tc>
          <w:tcPr>
            <w:tcW w:w="1205"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w:t>
            </w:r>
          </w:p>
        </w:tc>
        <w:tc>
          <w:tcPr>
            <w:tcW w:w="1174" w:type="dxa"/>
          </w:tcPr>
          <w:p>
            <w:pPr>
              <w:keepNext w:val="0"/>
              <w:keepLines w:val="0"/>
              <w:pageBreakBefore w:val="0"/>
              <w:widowControl/>
              <w:kinsoku w:val="0"/>
              <w:wordWrap/>
              <w:overflowPunct/>
              <w:topLinePunct w:val="0"/>
              <w:autoSpaceDE w:val="0"/>
              <w:autoSpaceDN w:val="0"/>
              <w:bidi w:val="0"/>
              <w:adjustRightInd w:val="0"/>
              <w:snapToGrid w:val="0"/>
              <w:spacing w:before="55" w:line="340" w:lineRule="exact"/>
              <w:jc w:val="center"/>
              <w:textAlignment w:val="baseline"/>
              <w:rPr>
                <w:rFonts w:ascii="仿宋" w:hAnsi="仿宋" w:eastAsia="仿宋" w:cs="仿宋"/>
                <w:color w:val="000000" w:themeColor="text1"/>
                <w:spacing w:val="-1"/>
                <w14:textFill>
                  <w14:solidFill>
                    <w14:schemeClr w14:val="tx1"/>
                  </w14:solidFill>
                </w14:textFill>
              </w:rPr>
            </w:pPr>
            <w:r>
              <w:rPr>
                <w:rFonts w:hint="eastAsia" w:ascii="仿宋" w:hAnsi="仿宋" w:eastAsia="仿宋" w:cs="仿宋"/>
                <w:color w:val="000000" w:themeColor="text1"/>
                <w:spacing w:val="-1"/>
                <w14:textFill>
                  <w14:solidFill>
                    <w14:schemeClr w14:val="tx1"/>
                  </w14:solidFill>
                </w14:textFill>
              </w:rPr>
              <w:t>1</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512" w:rightChars="-244"/>
        <w:textAlignment w:val="baseline"/>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注：1.同一行为被不同单位表彰的，取最高级别单位的分值；不同行为被同一级</w:t>
      </w:r>
      <w:r>
        <w:rPr>
          <w:rFonts w:hint="eastAsia" w:ascii="仿宋" w:hAnsi="仿宋" w:eastAsia="仿宋" w:cs="仿宋"/>
          <w:color w:val="000000" w:themeColor="text1"/>
          <w:spacing w:val="-13"/>
          <w14:textFill>
            <w14:solidFill>
              <w14:schemeClr w14:val="tx1"/>
            </w14:solidFill>
          </w14:textFill>
        </w:rPr>
        <w:t>别不同单位表彰的，</w:t>
      </w:r>
      <w:r>
        <w:rPr>
          <w:rFonts w:hint="eastAsia" w:ascii="仿宋" w:hAnsi="仿宋" w:eastAsia="仿宋" w:cs="仿宋"/>
          <w:color w:val="000000" w:themeColor="text1"/>
          <w:spacing w:val="-13"/>
          <w:lang w:val="en-US" w:eastAsia="zh-CN"/>
          <w14:textFill>
            <w14:solidFill>
              <w14:schemeClr w14:val="tx1"/>
            </w14:solidFill>
          </w14:textFill>
        </w:rPr>
        <w:t>可</w:t>
      </w:r>
      <w:r>
        <w:rPr>
          <w:rFonts w:hint="eastAsia" w:ascii="仿宋" w:hAnsi="仿宋" w:eastAsia="仿宋" w:cs="仿宋"/>
          <w:color w:val="000000" w:themeColor="text1"/>
          <w:spacing w:val="-13"/>
          <w14:textFill>
            <w14:solidFill>
              <w14:schemeClr w14:val="tx1"/>
            </w14:solidFill>
          </w14:textFill>
        </w:rPr>
        <w:t>累计加分；</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512" w:rightChars="-244" w:firstLine="420" w:firstLineChars="200"/>
        <w:textAlignment w:val="baseline"/>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2、共分为</w:t>
      </w:r>
      <w:r>
        <w:rPr>
          <w:rFonts w:hint="eastAsia" w:ascii="仿宋" w:hAnsi="仿宋" w:eastAsia="仿宋" w:cs="仿宋"/>
          <w:color w:val="000000" w:themeColor="text1"/>
          <w14:textFill>
            <w14:solidFill>
              <w14:schemeClr w14:val="tx1"/>
            </w14:solidFill>
          </w14:textFill>
        </w:rPr>
        <w:t>荣誉类</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公益类</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调研课题类</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社会职务类</w:t>
      </w:r>
      <w:r>
        <w:rPr>
          <w:rFonts w:hint="eastAsia" w:ascii="仿宋" w:hAnsi="仿宋" w:eastAsia="仿宋" w:cs="仿宋"/>
          <w:color w:val="000000" w:themeColor="text1"/>
          <w:lang w:val="en-US" w:eastAsia="zh-CN"/>
          <w14:textFill>
            <w14:solidFill>
              <w14:schemeClr w14:val="tx1"/>
            </w14:solidFill>
          </w14:textFill>
        </w:rPr>
        <w:t>四类，同一类</w:t>
      </w:r>
      <w:r>
        <w:rPr>
          <w:rFonts w:hint="eastAsia" w:ascii="仿宋" w:hAnsi="仿宋" w:eastAsia="仿宋" w:cs="仿宋"/>
          <w:color w:val="000000" w:themeColor="text1"/>
          <w14:textFill>
            <w14:solidFill>
              <w14:schemeClr w14:val="tx1"/>
            </w14:solidFill>
          </w14:textFill>
        </w:rPr>
        <w:t>加分项累计不超过15分。</w:t>
      </w:r>
    </w:p>
    <w:p>
      <w:pPr>
        <w:rPr>
          <w:rFonts w:ascii="宋体" w:hAnsi="宋体" w:eastAsia="宋体" w:cs="宋体"/>
          <w:b/>
          <w:bCs/>
          <w:color w:val="000000" w:themeColor="text1"/>
          <w:spacing w:val="4"/>
          <w:sz w:val="30"/>
          <w:szCs w:val="30"/>
          <w14:textFill>
            <w14:solidFill>
              <w14:schemeClr w14:val="tx1"/>
            </w14:solidFill>
          </w14:textFill>
        </w:rPr>
      </w:pPr>
      <w:r>
        <w:rPr>
          <w:rFonts w:hint="eastAsia" w:ascii="宋体" w:hAnsi="宋体" w:eastAsia="宋体" w:cs="宋体"/>
          <w:b/>
          <w:bCs/>
          <w:color w:val="000000" w:themeColor="text1"/>
          <w:spacing w:val="4"/>
          <w:sz w:val="30"/>
          <w:szCs w:val="30"/>
          <w14:textFill>
            <w14:solidFill>
              <w14:schemeClr w14:val="tx1"/>
            </w14:solidFill>
          </w14:textFill>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2" w:firstLineChars="200"/>
        <w:textAlignment w:val="baseline"/>
        <w:rPr>
          <w:rFonts w:ascii="宋体" w:hAnsi="宋体" w:eastAsia="宋体" w:cs="宋体"/>
          <w:b/>
          <w:bCs/>
          <w:color w:val="000000" w:themeColor="text1"/>
          <w:spacing w:val="-2"/>
          <w:sz w:val="24"/>
          <w:szCs w:val="24"/>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附件</w:t>
      </w:r>
      <w:r>
        <w:rPr>
          <w:rFonts w:hint="eastAsia" w:ascii="黑体" w:hAnsi="黑体" w:eastAsia="黑体" w:cs="黑体"/>
          <w:b/>
          <w:bCs/>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before="20" w:line="240" w:lineRule="auto"/>
        <w:jc w:val="center"/>
        <w:textAlignment w:val="baseline"/>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4"/>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pacing w:val="4"/>
          <w:sz w:val="30"/>
          <w:szCs w:val="30"/>
          <w14:textFill>
            <w14:solidFill>
              <w14:schemeClr w14:val="tx1"/>
            </w14:solidFill>
          </w14:textFill>
        </w:rPr>
        <w:t>协会</w:t>
      </w:r>
      <w:r>
        <w:rPr>
          <w:rFonts w:hint="eastAsia" w:ascii="宋体" w:hAnsi="宋体" w:eastAsia="宋体" w:cs="宋体"/>
          <w:b/>
          <w:bCs/>
          <w:color w:val="000000" w:themeColor="text1"/>
          <w:spacing w:val="4"/>
          <w:sz w:val="30"/>
          <w:szCs w:val="30"/>
          <w:lang w:val="en-US" w:eastAsia="zh-CN"/>
          <w14:textFill>
            <w14:solidFill>
              <w14:schemeClr w14:val="tx1"/>
            </w14:solidFill>
          </w14:textFill>
        </w:rPr>
        <w:t>机构</w:t>
      </w:r>
      <w:r>
        <w:rPr>
          <w:rFonts w:hint="eastAsia" w:ascii="宋体" w:hAnsi="宋体" w:eastAsia="宋体" w:cs="宋体"/>
          <w:b/>
          <w:bCs/>
          <w:color w:val="000000" w:themeColor="text1"/>
          <w:spacing w:val="4"/>
          <w:sz w:val="30"/>
          <w:szCs w:val="30"/>
          <w14:textFill>
            <w14:solidFill>
              <w14:schemeClr w14:val="tx1"/>
            </w14:solidFill>
          </w14:textFill>
        </w:rPr>
        <w:t>会员不良执业行为自律评价指标体系</w:t>
      </w:r>
    </w:p>
    <w:p>
      <w:pPr>
        <w:spacing w:line="65" w:lineRule="exact"/>
        <w:rPr>
          <w:color w:val="000000" w:themeColor="text1"/>
          <w14:textFill>
            <w14:solidFill>
              <w14:schemeClr w14:val="tx1"/>
            </w14:solidFill>
          </w14:textFill>
        </w:rPr>
      </w:pPr>
    </w:p>
    <w:tbl>
      <w:tblPr>
        <w:tblStyle w:val="6"/>
        <w:tblpPr w:leftFromText="180" w:rightFromText="180" w:vertAnchor="text" w:horzAnchor="page" w:tblpXSpec="center" w:tblpY="92"/>
        <w:tblOverlap w:val="never"/>
        <w:tblW w:w="88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5132"/>
        <w:gridCol w:w="1131"/>
        <w:gridCol w:w="114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76" w:type="dxa"/>
            <w:vMerge w:val="restart"/>
            <w:tcBorders>
              <w:bottom w:val="nil"/>
            </w:tcBorders>
            <w:vAlign w:val="center"/>
          </w:tcPr>
          <w:p>
            <w:pPr>
              <w:spacing w:line="274" w:lineRule="auto"/>
              <w:jc w:val="center"/>
              <w:rPr>
                <w:rFonts w:ascii="仿宋" w:hAnsi="仿宋" w:eastAsia="仿宋" w:cs="仿宋"/>
                <w:color w:val="000000" w:themeColor="text1"/>
                <w14:textFill>
                  <w14:solidFill>
                    <w14:schemeClr w14:val="tx1"/>
                  </w14:solidFill>
                </w14:textFill>
              </w:rPr>
            </w:pPr>
          </w:p>
          <w:p>
            <w:pPr>
              <w:spacing w:before="45" w:line="221" w:lineRule="auto"/>
              <w:ind w:left="85"/>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序号</w:t>
            </w:r>
          </w:p>
        </w:tc>
        <w:tc>
          <w:tcPr>
            <w:tcW w:w="5132" w:type="dxa"/>
            <w:vMerge w:val="restart"/>
            <w:tcBorders>
              <w:bottom w:val="nil"/>
            </w:tcBorders>
            <w:vAlign w:val="center"/>
          </w:tcPr>
          <w:p>
            <w:pPr>
              <w:spacing w:line="273" w:lineRule="auto"/>
              <w:jc w:val="center"/>
              <w:rPr>
                <w:rFonts w:ascii="仿宋" w:hAnsi="仿宋" w:eastAsia="仿宋" w:cs="仿宋"/>
                <w:color w:val="000000" w:themeColor="text1"/>
                <w14:textFill>
                  <w14:solidFill>
                    <w14:schemeClr w14:val="tx1"/>
                  </w14:solidFill>
                </w14:textFill>
              </w:rPr>
            </w:pPr>
          </w:p>
          <w:p>
            <w:pPr>
              <w:spacing w:before="46" w:line="219"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减分内容</w:t>
            </w:r>
          </w:p>
        </w:tc>
        <w:tc>
          <w:tcPr>
            <w:tcW w:w="2275" w:type="dxa"/>
            <w:gridSpan w:val="2"/>
            <w:vAlign w:val="center"/>
          </w:tcPr>
          <w:p>
            <w:pPr>
              <w:spacing w:before="131" w:line="220" w:lineRule="auto"/>
              <w:ind w:left="136"/>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减分标准(分/起)</w:t>
            </w:r>
          </w:p>
        </w:tc>
        <w:tc>
          <w:tcPr>
            <w:tcW w:w="850" w:type="dxa"/>
            <w:vMerge w:val="restart"/>
            <w:tcBorders>
              <w:bottom w:val="nil"/>
            </w:tcBorders>
            <w:vAlign w:val="center"/>
          </w:tcPr>
          <w:p>
            <w:pPr>
              <w:spacing w:before="116" w:line="219" w:lineRule="auto"/>
              <w:rPr>
                <w:rFonts w:ascii="仿宋" w:hAnsi="仿宋" w:eastAsia="仿宋" w:cs="仿宋"/>
                <w:color w:val="000000" w:themeColor="text1"/>
                <w:spacing w:val="-2"/>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减分是否</w:t>
            </w:r>
          </w:p>
          <w:p>
            <w:pPr>
              <w:spacing w:before="116" w:line="219"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lang w:val="en-US" w:eastAsia="zh-CN"/>
                <w14:textFill>
                  <w14:solidFill>
                    <w14:schemeClr w14:val="tx1"/>
                  </w14:solidFill>
                </w14:textFill>
              </w:rPr>
              <w:t>需满3年</w:t>
            </w:r>
            <w:r>
              <w:rPr>
                <w:rFonts w:hint="eastAsia" w:ascii="仿宋" w:hAnsi="仿宋" w:eastAsia="仿宋" w:cs="仿宋"/>
                <w:color w:val="000000" w:themeColor="text1"/>
                <w:spacing w:val="-2"/>
                <w14:textFill>
                  <w14:solidFill>
                    <w14:schemeClr w14:val="tx1"/>
                  </w14:solidFill>
                </w14:textFill>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6" w:type="dxa"/>
            <w:vMerge w:val="continue"/>
            <w:tcBorders>
              <w:top w:val="nil"/>
            </w:tcBorders>
            <w:vAlign w:val="center"/>
          </w:tcPr>
          <w:p>
            <w:pPr>
              <w:rPr>
                <w:rFonts w:ascii="仿宋" w:hAnsi="仿宋" w:eastAsia="仿宋" w:cs="仿宋"/>
                <w:color w:val="000000" w:themeColor="text1"/>
                <w14:textFill>
                  <w14:solidFill>
                    <w14:schemeClr w14:val="tx1"/>
                  </w14:solidFill>
                </w14:textFill>
              </w:rPr>
            </w:pPr>
          </w:p>
        </w:tc>
        <w:tc>
          <w:tcPr>
            <w:tcW w:w="5132" w:type="dxa"/>
            <w:vMerge w:val="continue"/>
            <w:tcBorders>
              <w:top w:val="nil"/>
            </w:tcBorders>
            <w:vAlign w:val="center"/>
          </w:tcPr>
          <w:p>
            <w:pPr>
              <w:rPr>
                <w:rFonts w:ascii="仿宋" w:hAnsi="仿宋" w:eastAsia="仿宋" w:cs="仿宋"/>
                <w:color w:val="000000" w:themeColor="text1"/>
                <w14:textFill>
                  <w14:solidFill>
                    <w14:schemeClr w14:val="tx1"/>
                  </w14:solidFill>
                </w14:textFill>
              </w:rPr>
            </w:pPr>
          </w:p>
        </w:tc>
        <w:tc>
          <w:tcPr>
            <w:tcW w:w="1131" w:type="dxa"/>
            <w:vAlign w:val="center"/>
          </w:tcPr>
          <w:p>
            <w:pPr>
              <w:spacing w:before="115" w:line="219"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核实后每次扣分标准</w:t>
            </w:r>
          </w:p>
        </w:tc>
        <w:tc>
          <w:tcPr>
            <w:tcW w:w="1144" w:type="dxa"/>
            <w:vAlign w:val="center"/>
          </w:tcPr>
          <w:p>
            <w:pPr>
              <w:spacing w:before="116" w:line="219"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整改修复后扣分标准</w:t>
            </w:r>
          </w:p>
        </w:tc>
        <w:tc>
          <w:tcPr>
            <w:tcW w:w="850" w:type="dxa"/>
            <w:vMerge w:val="continue"/>
            <w:tcBorders>
              <w:top w:val="nil"/>
            </w:tcBorders>
            <w:vAlign w:val="center"/>
          </w:tcPr>
          <w:p>
            <w:pPr>
              <w:rPr>
                <w:rFonts w:ascii="仿宋" w:hAnsi="仿宋" w:eastAsia="仿宋" w:cs="仿宋"/>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8833" w:type="dxa"/>
            <w:gridSpan w:val="5"/>
            <w:vAlign w:val="center"/>
          </w:tcPr>
          <w:p>
            <w:pPr>
              <w:spacing w:before="35" w:line="219"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3"/>
                <w14:textFill>
                  <w14:solidFill>
                    <w14:schemeClr w14:val="tx1"/>
                  </w14:solidFill>
                </w14:textFill>
              </w:rPr>
              <w:t>机构管理类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76" w:type="dxa"/>
            <w:vAlign w:val="center"/>
          </w:tcPr>
          <w:p>
            <w:pPr>
              <w:spacing w:before="173" w:line="184"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5132" w:type="dxa"/>
            <w:vAlign w:val="center"/>
          </w:tcPr>
          <w:p>
            <w:pPr>
              <w:spacing w:before="48" w:line="238" w:lineRule="auto"/>
              <w:ind w:left="11" w:right="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未按规定办理备案证书变更或备案延续的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144"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0</w:t>
            </w:r>
          </w:p>
        </w:tc>
        <w:tc>
          <w:tcPr>
            <w:tcW w:w="850" w:type="dxa"/>
            <w:vAlign w:val="center"/>
          </w:tcPr>
          <w:p>
            <w:pPr>
              <w:spacing w:before="140" w:line="223"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76" w:type="dxa"/>
            <w:vAlign w:val="center"/>
          </w:tcPr>
          <w:p>
            <w:pPr>
              <w:spacing w:before="174"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5132" w:type="dxa"/>
            <w:vAlign w:val="center"/>
          </w:tcPr>
          <w:p>
            <w:pPr>
              <w:spacing w:before="59" w:line="234" w:lineRule="auto"/>
              <w:ind w:left="11" w:right="17" w:firstLine="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提交的企业及其从业人员的自律信息材料为虚假的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76" w:type="dxa"/>
            <w:vAlign w:val="center"/>
          </w:tcPr>
          <w:p>
            <w:pPr>
              <w:spacing w:before="175"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5132" w:type="dxa"/>
            <w:vAlign w:val="center"/>
          </w:tcPr>
          <w:p>
            <w:pPr>
              <w:spacing w:before="49" w:line="241" w:lineRule="auto"/>
              <w:ind w:left="11" w:right="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对企业的经营业绩、自律管理、信用状况等进行虚假宣传的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5132" w:type="dxa"/>
            <w:vAlign w:val="center"/>
          </w:tcPr>
          <w:p>
            <w:pPr>
              <w:spacing w:before="81" w:line="214" w:lineRule="auto"/>
              <w:ind w:left="11" w:right="27"/>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未按规定向有关主管部门办理备案手续的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75" w:line="184" w:lineRule="auto"/>
              <w:jc w:val="center"/>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5132" w:type="dxa"/>
            <w:vAlign w:val="center"/>
          </w:tcPr>
          <w:p>
            <w:pPr>
              <w:spacing w:before="81" w:line="214" w:lineRule="auto"/>
              <w:ind w:left="11" w:right="27"/>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未取得或被吊销备案证书开展房地产估价业务的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75" w:line="184" w:lineRule="auto"/>
              <w:jc w:val="center"/>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满3年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5132" w:type="dxa"/>
            <w:vAlign w:val="center"/>
          </w:tcPr>
          <w:p>
            <w:pPr>
              <w:spacing w:before="81" w:line="214" w:lineRule="auto"/>
              <w:ind w:left="11" w:right="27"/>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不遵循相关规定，超出许可范围从事估价业务的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5132" w:type="dxa"/>
            <w:vAlign w:val="center"/>
          </w:tcPr>
          <w:p>
            <w:pPr>
              <w:spacing w:before="81" w:line="214" w:lineRule="auto"/>
              <w:ind w:left="11" w:right="27"/>
              <w:rPr>
                <w:rFonts w:ascii="仿宋" w:hAnsi="仿宋" w:eastAsia="仿宋" w:cs="仿宋"/>
                <w:color w:val="000000" w:themeColor="text1"/>
                <w:spacing w:val="17"/>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涂改、倒卖、出租、出借或者以其他形式非法转让备案证书的；允许其他机构以</w:t>
            </w:r>
            <w:r>
              <w:rPr>
                <w:rFonts w:hint="eastAsia" w:ascii="仿宋" w:hAnsi="仿宋" w:eastAsia="仿宋" w:cs="仿宋"/>
                <w:color w:val="000000" w:themeColor="text1"/>
                <w:spacing w:val="17"/>
                <w14:textFill>
                  <w14:solidFill>
                    <w14:schemeClr w14:val="tx1"/>
                  </w14:solidFill>
                </w14:textFill>
              </w:rPr>
              <w:t>本机构名义开展业务，或者用其他机构名义开展业务的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75" w:line="184" w:lineRule="auto"/>
              <w:jc w:val="center"/>
              <w:rPr>
                <w:rFonts w:hint="eastAsia" w:ascii="仿宋" w:hAnsi="仿宋" w:eastAsia="仿宋" w:cs="仿宋"/>
                <w:color w:val="000000" w:themeColor="text1"/>
                <w:spacing w:val="-4"/>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5132" w:type="dxa"/>
            <w:vAlign w:val="center"/>
          </w:tcPr>
          <w:p>
            <w:pPr>
              <w:spacing w:before="81" w:line="214" w:lineRule="auto"/>
              <w:ind w:left="11" w:right="27"/>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擅自设立分支机构的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75" w:line="184" w:lineRule="auto"/>
              <w:jc w:val="center"/>
              <w:rPr>
                <w:rFonts w:hint="eastAsia" w:ascii="仿宋" w:hAnsi="仿宋" w:eastAsia="仿宋" w:cs="仿宋"/>
                <w:color w:val="000000" w:themeColor="text1"/>
                <w:spacing w:val="-4"/>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p>
        </w:tc>
        <w:tc>
          <w:tcPr>
            <w:tcW w:w="5132" w:type="dxa"/>
            <w:vAlign w:val="center"/>
          </w:tcPr>
          <w:p>
            <w:pPr>
              <w:spacing w:before="81" w:line="214" w:lineRule="auto"/>
              <w:ind w:left="11" w:right="27"/>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设立分支机构，且以分支机构名义出具报告的</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75" w:line="184" w:lineRule="auto"/>
              <w:jc w:val="center"/>
              <w:rPr>
                <w:rFonts w:hint="eastAsia" w:ascii="仿宋" w:hAnsi="仿宋" w:eastAsia="仿宋" w:cs="仿宋"/>
                <w:color w:val="000000" w:themeColor="text1"/>
                <w:spacing w:val="-4"/>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5132" w:type="dxa"/>
            <w:vAlign w:val="center"/>
          </w:tcPr>
          <w:p>
            <w:pPr>
              <w:spacing w:before="81" w:line="214" w:lineRule="auto"/>
              <w:ind w:left="11" w:right="27"/>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估价机构存在违反法律、行政法规的其他行为，包括违反法律法规及相关政策、</w:t>
            </w:r>
            <w:r>
              <w:rPr>
                <w:rFonts w:hint="eastAsia" w:ascii="仿宋" w:hAnsi="仿宋" w:eastAsia="仿宋" w:cs="仿宋"/>
                <w:color w:val="000000" w:themeColor="text1"/>
                <w14:textFill>
                  <w14:solidFill>
                    <w14:schemeClr w14:val="tx1"/>
                  </w14:solidFill>
                </w14:textFill>
              </w:rPr>
              <w:t xml:space="preserve"> </w:t>
            </w:r>
            <w:r>
              <w:rPr>
                <w:rFonts w:hint="eastAsia" w:ascii="仿宋" w:hAnsi="仿宋" w:eastAsia="仿宋" w:cs="仿宋"/>
                <w:color w:val="000000" w:themeColor="text1"/>
                <w:spacing w:val="17"/>
                <w14:textFill>
                  <w14:solidFill>
                    <w14:schemeClr w14:val="tx1"/>
                  </w14:solidFill>
                </w14:textFill>
              </w:rPr>
              <w:t>经司法程序判决、裁定或经相关部门查证的违法</w:t>
            </w:r>
            <w:r>
              <w:rPr>
                <w:rFonts w:hint="eastAsia" w:ascii="仿宋" w:hAnsi="仿宋" w:eastAsia="仿宋" w:cs="仿宋"/>
                <w:color w:val="000000" w:themeColor="text1"/>
                <w:spacing w:val="16"/>
                <w14:textFill>
                  <w14:solidFill>
                    <w14:schemeClr w14:val="tx1"/>
                  </w14:solidFill>
                </w14:textFill>
              </w:rPr>
              <w:t>、违规行为等</w:t>
            </w:r>
          </w:p>
        </w:tc>
        <w:tc>
          <w:tcPr>
            <w:tcW w:w="1131"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30</w:t>
            </w:r>
          </w:p>
        </w:tc>
        <w:tc>
          <w:tcPr>
            <w:tcW w:w="1144" w:type="dxa"/>
            <w:vAlign w:val="center"/>
          </w:tcPr>
          <w:p>
            <w:pPr>
              <w:spacing w:before="175" w:line="184" w:lineRule="auto"/>
              <w:jc w:val="center"/>
              <w:rPr>
                <w:rFonts w:hint="eastAsia" w:ascii="仿宋" w:hAnsi="仿宋" w:eastAsia="仿宋" w:cs="仿宋"/>
                <w:b/>
                <w:bCs/>
                <w:color w:val="000000" w:themeColor="text1"/>
                <w:spacing w:val="-4"/>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75" w:line="184" w:lineRule="auto"/>
              <w:ind w:left="308"/>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16"/>
                <w14:textFill>
                  <w14:solidFill>
                    <w14:schemeClr w14:val="tx1"/>
                  </w14:solidFill>
                </w14:textFill>
              </w:rPr>
              <w:t>人员管理类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未按规定组织从业人员参加继续教育和行业培训活动的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满1年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在估价机构任职的从业人员存在人证分离的挂靠情况的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8</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聘用或者指派未取得或被吊销资格证书的人员以房地产估价师的名义从事房地产估价业务的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12</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w:t>
            </w:r>
          </w:p>
        </w:tc>
        <w:tc>
          <w:tcPr>
            <w:tcW w:w="5132" w:type="dxa"/>
            <w:vAlign w:val="center"/>
          </w:tcPr>
          <w:p>
            <w:pPr>
              <w:spacing w:before="81" w:line="214" w:lineRule="auto"/>
              <w:ind w:left="11" w:right="27"/>
              <w:rPr>
                <w:rFonts w:hint="eastAsia"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聘用已在另一房地产估价机构职业的房地产估价师的</w:t>
            </w:r>
          </w:p>
        </w:tc>
        <w:tc>
          <w:tcPr>
            <w:tcW w:w="1131" w:type="dxa"/>
            <w:vAlign w:val="center"/>
          </w:tcPr>
          <w:p>
            <w:pPr>
              <w:spacing w:before="186" w:line="184" w:lineRule="auto"/>
              <w:ind w:left="316"/>
              <w:rPr>
                <w:rFonts w:hint="eastAsia"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12</w:t>
            </w:r>
          </w:p>
        </w:tc>
        <w:tc>
          <w:tcPr>
            <w:tcW w:w="1144" w:type="dxa"/>
            <w:vAlign w:val="center"/>
          </w:tcPr>
          <w:p>
            <w:pPr>
              <w:spacing w:before="186" w:line="183" w:lineRule="auto"/>
              <w:rPr>
                <w:rFonts w:hint="eastAsia" w:ascii="仿宋" w:hAnsi="仿宋" w:eastAsia="仿宋" w:cs="仿宋"/>
                <w:color w:val="000000" w:themeColor="text1"/>
                <w:spacing w:val="-4"/>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15</w:t>
            </w:r>
          </w:p>
        </w:tc>
        <w:tc>
          <w:tcPr>
            <w:tcW w:w="5132" w:type="dxa"/>
            <w:vAlign w:val="center"/>
          </w:tcPr>
          <w:p>
            <w:pPr>
              <w:spacing w:before="81" w:line="214" w:lineRule="auto"/>
              <w:ind w:left="11" w:right="27"/>
              <w:rPr>
                <w:rFonts w:hint="default" w:ascii="仿宋" w:hAnsi="仿宋" w:eastAsia="仿宋" w:cs="仿宋"/>
                <w:color w:val="000000" w:themeColor="text1"/>
                <w:spacing w:val="16"/>
                <w:lang w:val="en-US" w:eastAsia="zh-CN"/>
                <w14:textFill>
                  <w14:solidFill>
                    <w14:schemeClr w14:val="tx1"/>
                  </w14:solidFill>
                </w14:textFill>
              </w:rPr>
            </w:pPr>
            <w:r>
              <w:rPr>
                <w:rFonts w:hint="eastAsia" w:ascii="仿宋" w:hAnsi="仿宋" w:eastAsia="仿宋" w:cs="仿宋"/>
                <w:color w:val="000000" w:themeColor="text1"/>
                <w:spacing w:val="16"/>
                <w:lang w:val="en-US" w:eastAsia="zh-CN"/>
                <w14:textFill>
                  <w14:solidFill>
                    <w14:schemeClr w14:val="tx1"/>
                  </w14:solidFill>
                </w14:textFill>
              </w:rPr>
              <w:t>估价机构内部人员出现附件3《协会个人会员不良执业行为自律评价指标体系》对应扣分标准在10分以下事项情形，每一人一项</w:t>
            </w:r>
          </w:p>
        </w:tc>
        <w:tc>
          <w:tcPr>
            <w:tcW w:w="1131" w:type="dxa"/>
            <w:vAlign w:val="center"/>
          </w:tcPr>
          <w:p>
            <w:pPr>
              <w:spacing w:before="186" w:line="184" w:lineRule="auto"/>
              <w:ind w:left="316"/>
              <w:rPr>
                <w:rFonts w:hint="eastAsia" w:ascii="仿宋" w:hAnsi="仿宋" w:eastAsia="仿宋" w:cs="仿宋"/>
                <w:color w:val="000000" w:themeColor="text1"/>
                <w:spacing w:val="-4"/>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5</w:t>
            </w:r>
          </w:p>
        </w:tc>
        <w:tc>
          <w:tcPr>
            <w:tcW w:w="1144" w:type="dxa"/>
            <w:vAlign w:val="center"/>
          </w:tcPr>
          <w:p>
            <w:pPr>
              <w:spacing w:before="186" w:line="183" w:lineRule="auto"/>
              <w:rPr>
                <w:rFonts w:hint="default" w:ascii="仿宋" w:hAnsi="仿宋" w:eastAsia="仿宋" w:cs="仿宋"/>
                <w:color w:val="000000" w:themeColor="text1"/>
                <w:spacing w:val="-3"/>
                <w:lang w:val="en-US" w:eastAsia="zh-CN"/>
                <w14:textFill>
                  <w14:solidFill>
                    <w14:schemeClr w14:val="tx1"/>
                  </w14:solidFill>
                </w14:textFill>
              </w:rPr>
            </w:pPr>
            <w:r>
              <w:rPr>
                <w:rFonts w:hint="eastAsia" w:ascii="仿宋" w:hAnsi="仿宋" w:eastAsia="仿宋" w:cs="仿宋"/>
                <w:color w:val="000000" w:themeColor="text1"/>
                <w:spacing w:val="-3"/>
                <w:lang w:val="en-US" w:eastAsia="zh-CN"/>
                <w14:textFill>
                  <w14:solidFill>
                    <w14:schemeClr w14:val="tx1"/>
                  </w14:solidFill>
                </w14:textFill>
              </w:rPr>
              <w:t xml:space="preserve">     2</w:t>
            </w:r>
          </w:p>
        </w:tc>
        <w:tc>
          <w:tcPr>
            <w:tcW w:w="850" w:type="dxa"/>
            <w:vAlign w:val="center"/>
          </w:tcPr>
          <w:p>
            <w:pPr>
              <w:spacing w:before="151" w:line="220" w:lineRule="auto"/>
              <w:ind w:left="229"/>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16</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lang w:val="en-US" w:eastAsia="zh-CN"/>
                <w14:textFill>
                  <w14:solidFill>
                    <w14:schemeClr w14:val="tx1"/>
                  </w14:solidFill>
                </w14:textFill>
              </w:rPr>
              <w:t>估价机构内部人员出现附件3《协会个人会员不良执业行为自律评价指标体系》对应扣分标准在20分以下，10分以上事项情形，每一人一项</w:t>
            </w:r>
          </w:p>
        </w:tc>
        <w:tc>
          <w:tcPr>
            <w:tcW w:w="1131" w:type="dxa"/>
            <w:vAlign w:val="center"/>
          </w:tcPr>
          <w:p>
            <w:pPr>
              <w:spacing w:before="186" w:line="184" w:lineRule="auto"/>
              <w:ind w:left="316"/>
              <w:rPr>
                <w:rFonts w:hint="default" w:ascii="仿宋" w:hAnsi="仿宋" w:eastAsia="仿宋" w:cs="仿宋"/>
                <w:color w:val="000000" w:themeColor="text1"/>
                <w:spacing w:val="-4"/>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10</w:t>
            </w:r>
          </w:p>
        </w:tc>
        <w:tc>
          <w:tcPr>
            <w:tcW w:w="1144" w:type="dxa"/>
            <w:vAlign w:val="center"/>
          </w:tcPr>
          <w:p>
            <w:pPr>
              <w:spacing w:before="186" w:line="183" w:lineRule="auto"/>
              <w:jc w:val="center"/>
              <w:rPr>
                <w:rFonts w:hint="eastAsia" w:ascii="仿宋" w:hAnsi="仿宋" w:eastAsia="仿宋" w:cs="仿宋"/>
                <w:color w:val="000000" w:themeColor="text1"/>
                <w:spacing w:val="-3"/>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满1年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17</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lang w:val="en-US" w:eastAsia="zh-CN"/>
                <w14:textFill>
                  <w14:solidFill>
                    <w14:schemeClr w14:val="tx1"/>
                  </w14:solidFill>
                </w14:textFill>
              </w:rPr>
              <w:t>估价机构内部人员出现附件3《协会个人会员不良执业行为自律评价指标体系》对应扣分标准在30分及以上事项情形，每一人一项</w:t>
            </w:r>
          </w:p>
        </w:tc>
        <w:tc>
          <w:tcPr>
            <w:tcW w:w="1131" w:type="dxa"/>
            <w:vAlign w:val="center"/>
          </w:tcPr>
          <w:p>
            <w:pPr>
              <w:spacing w:before="186" w:line="184" w:lineRule="auto"/>
              <w:ind w:left="316"/>
              <w:rPr>
                <w:rFonts w:hint="default" w:ascii="仿宋" w:hAnsi="仿宋" w:eastAsia="仿宋" w:cs="仿宋"/>
                <w:color w:val="000000" w:themeColor="text1"/>
                <w:spacing w:val="-4"/>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15</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收费管理类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8</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收取服务报酬未出具发票的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满1年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en-US" w:eastAsia="zh-CN"/>
                <w14:textFill>
                  <w14:solidFill>
                    <w14:schemeClr w14:val="tx1"/>
                  </w14:solidFill>
                </w14:textFill>
              </w:rPr>
              <w:t>9</w:t>
            </w:r>
          </w:p>
        </w:tc>
        <w:tc>
          <w:tcPr>
            <w:tcW w:w="5132" w:type="dxa"/>
            <w:vAlign w:val="center"/>
          </w:tcPr>
          <w:p>
            <w:pPr>
              <w:spacing w:before="81" w:line="214" w:lineRule="auto"/>
              <w:ind w:left="11" w:right="27"/>
              <w:rPr>
                <w:rFonts w:hint="default" w:ascii="仿宋" w:hAnsi="仿宋" w:eastAsia="仿宋" w:cs="仿宋"/>
                <w:color w:val="000000" w:themeColor="text1"/>
                <w:spacing w:val="16"/>
                <w:lang w:val="en-US" w:eastAsia="zh-CN"/>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违反规定乱收费</w:t>
            </w:r>
            <w:r>
              <w:rPr>
                <w:rFonts w:hint="eastAsia" w:ascii="仿宋" w:hAnsi="仿宋" w:eastAsia="仿宋" w:cs="仿宋"/>
                <w:color w:val="000000" w:themeColor="text1"/>
                <w:spacing w:val="16"/>
                <w:lang w:val="en-US" w:eastAsia="zh-CN"/>
                <w14:textFill>
                  <w14:solidFill>
                    <w14:schemeClr w14:val="tx1"/>
                  </w14:solidFill>
                </w14:textFill>
              </w:rPr>
              <w:t>且被查处的</w:t>
            </w:r>
          </w:p>
        </w:tc>
        <w:tc>
          <w:tcPr>
            <w:tcW w:w="1131" w:type="dxa"/>
            <w:vAlign w:val="center"/>
          </w:tcPr>
          <w:p>
            <w:pPr>
              <w:spacing w:before="186" w:line="184" w:lineRule="auto"/>
              <w:ind w:left="316"/>
              <w:rPr>
                <w:rFonts w:hint="default" w:ascii="仿宋" w:hAnsi="仿宋" w:eastAsia="仿宋" w:cs="仿宋"/>
                <w:color w:val="000000" w:themeColor="text1"/>
                <w:spacing w:val="-4"/>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20</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报告管理类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20</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省及设区市行业协会、各级行政部门抽查评估报告存在严重质量问题，评审报告结果为不合格的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21</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未按有关规定保管估价档案及相关资料的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144" w:type="dxa"/>
            <w:vAlign w:val="center"/>
          </w:tcPr>
          <w:p>
            <w:pPr>
              <w:spacing w:before="186" w:line="183" w:lineRule="auto"/>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满1年</w:t>
            </w:r>
            <w:r>
              <w:rPr>
                <w:rFonts w:hint="eastAsia" w:ascii="仿宋" w:hAnsi="仿宋" w:eastAsia="仿宋" w:cs="仿宋"/>
                <w:color w:val="000000" w:themeColor="text1"/>
                <w:spacing w:val="-4"/>
                <w14:textFill>
                  <w14:solidFill>
                    <w14:schemeClr w14:val="tx1"/>
                  </w14:solidFill>
                </w14:textFill>
              </w:rPr>
              <w:t>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经营行为类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22</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利用业务之便，谋取不正当利益的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23</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与委托人或其他相关当事人有利害关系，应当回避而未回避的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4</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分别接受利益冲突双方的委托，对同一评估对象进行评估的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5</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违反房地产估价规范和标准，出具有误导性陈述或重</w:t>
            </w:r>
            <w:r>
              <w:rPr>
                <w:rFonts w:hint="eastAsia" w:ascii="仿宋" w:hAnsi="仿宋" w:eastAsia="仿宋" w:cs="仿宋"/>
                <w:color w:val="000000" w:themeColor="text1"/>
                <w:spacing w:val="8"/>
                <w14:textFill>
                  <w14:solidFill>
                    <w14:schemeClr w14:val="tx1"/>
                  </w14:solidFill>
                </w14:textFill>
              </w:rPr>
              <w:t>大遗漏评估报告的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6</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违反房地产估价规范和标准，出具虚假评估报告的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7</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未经委托人书面同意，擅自转让受托估价业务的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8</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采用欺骗、利诱、胁迫等不正当手段承载业务的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en-US" w:eastAsia="zh-CN"/>
                <w14:textFill>
                  <w14:solidFill>
                    <w14:schemeClr w14:val="tx1"/>
                  </w14:solidFill>
                </w14:textFill>
              </w:rPr>
              <w:t>9</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明示或者暗示本机构从业人员违反房地产估价规范和标准进行估价或从事其他不良执业行为的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15</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其他行为类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30</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对采集自律信息、相关数据等工作不予配合，不如实上报或无故不按时上报的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0</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31</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因违反政策规定，被行政主管部门通报责令限期整改的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144" w:type="dxa"/>
            <w:vAlign w:val="center"/>
          </w:tcPr>
          <w:p>
            <w:pPr>
              <w:spacing w:before="186" w:line="183" w:lineRule="auto"/>
              <w:ind w:left="308"/>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0</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32</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因违反政策规定，被行政主管部门通报批评或下发行政处罚决定书的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3</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估价机构不配合有关行政主管部门或省、市房协监督检查工作，拒绝或阻挠不配合的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ind w:left="308"/>
              <w:rPr>
                <w:rFonts w:hint="default" w:ascii="仿宋" w:hAnsi="仿宋" w:eastAsia="仿宋" w:cs="仿宋"/>
                <w:color w:val="000000" w:themeColor="text1"/>
                <w:spacing w:val="-3"/>
                <w:lang w:val="en-US" w:eastAsia="zh-CN"/>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15</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4</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企业法定代表人或执行合伙人、主要股东或合伙人因执行企业职务的行为犯罪被依法追究刑事责任的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5</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经有关部门确认，存在商业贿赂行为的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833"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重大不良执业行为类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6</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拒不执行有关行政管理部门做出的已经生效的处罚或限期整改决定的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7</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虚构事实、隐瞒真相，给相关当事人、企业造成重大损失的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8</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与一方当事人串通，严重损害他人合法权益的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9</w:t>
            </w:r>
          </w:p>
        </w:tc>
        <w:tc>
          <w:tcPr>
            <w:tcW w:w="5132" w:type="dxa"/>
            <w:vAlign w:val="center"/>
          </w:tcPr>
          <w:p>
            <w:pPr>
              <w:spacing w:before="81" w:line="214" w:lineRule="auto"/>
              <w:ind w:left="11"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被有关机关或行业协会认定，采取不正当手段恶意竞争，给行业或同行的声誉及利益带来重大负面影响的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76" w:type="dxa"/>
            <w:vAlign w:val="center"/>
          </w:tcPr>
          <w:p>
            <w:pPr>
              <w:spacing w:before="186" w:line="183" w:lineRule="auto"/>
              <w:ind w:left="185"/>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40</w:t>
            </w:r>
          </w:p>
        </w:tc>
        <w:tc>
          <w:tcPr>
            <w:tcW w:w="5132" w:type="dxa"/>
            <w:vAlign w:val="center"/>
          </w:tcPr>
          <w:p>
            <w:pPr>
              <w:spacing w:before="81" w:line="214" w:lineRule="auto"/>
              <w:ind w:right="27"/>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在办理业务或提交资料过程中弄虚作假，隐瞒真相，造成严重后果的</w:t>
            </w:r>
          </w:p>
        </w:tc>
        <w:tc>
          <w:tcPr>
            <w:tcW w:w="1131" w:type="dxa"/>
            <w:vAlign w:val="center"/>
          </w:tcPr>
          <w:p>
            <w:pPr>
              <w:spacing w:before="186" w:line="184" w:lineRule="auto"/>
              <w:ind w:left="316"/>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144"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850" w:type="dxa"/>
            <w:vAlign w:val="center"/>
          </w:tcPr>
          <w:p>
            <w:pPr>
              <w:spacing w:before="151" w:line="220" w:lineRule="auto"/>
              <w:ind w:left="229"/>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bl>
    <w:p>
      <w:pPr>
        <w:keepNext w:val="0"/>
        <w:keepLines w:val="0"/>
        <w:pageBreakBefore w:val="0"/>
        <w:widowControl/>
        <w:kinsoku w:val="0"/>
        <w:wordWrap/>
        <w:overflowPunct/>
        <w:topLinePunct w:val="0"/>
        <w:autoSpaceDE w:val="0"/>
        <w:autoSpaceDN w:val="0"/>
        <w:bidi w:val="0"/>
        <w:adjustRightInd w:val="0"/>
        <w:snapToGrid w:val="0"/>
        <w:spacing w:before="210" w:line="240" w:lineRule="auto"/>
        <w:jc w:val="center"/>
        <w:textAlignment w:val="baseline"/>
        <w:rPr>
          <w:rFonts w:ascii="宋体" w:hAnsi="宋体" w:eastAsia="宋体" w:cs="宋体"/>
          <w:b/>
          <w:bCs/>
          <w:color w:val="000000" w:themeColor="text1"/>
          <w:spacing w:val="4"/>
          <w:sz w:val="30"/>
          <w:szCs w:val="30"/>
          <w14:textFill>
            <w14:solidFill>
              <w14:schemeClr w14:val="tx1"/>
            </w14:solidFill>
          </w14:textFill>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562" w:firstLineChars="200"/>
        <w:textAlignment w:val="baseline"/>
        <w:rPr>
          <w:rFonts w:ascii="宋体" w:hAnsi="宋体" w:eastAsia="宋体" w:cs="宋体"/>
          <w:b/>
          <w:bCs/>
          <w:color w:val="000000" w:themeColor="text1"/>
          <w:spacing w:val="-2"/>
          <w:sz w:val="24"/>
          <w:szCs w:val="24"/>
          <w14:textFill>
            <w14:solidFill>
              <w14:schemeClr w14:val="tx1"/>
            </w14:solidFill>
          </w14:textFill>
        </w:rPr>
      </w:pPr>
      <w:r>
        <w:rPr>
          <w:rFonts w:hint="eastAsia" w:ascii="黑体" w:hAnsi="黑体" w:eastAsia="黑体" w:cs="黑体"/>
          <w:b/>
          <w:bCs/>
          <w:color w:val="000000" w:themeColor="text1"/>
          <w:sz w:val="28"/>
          <w:szCs w:val="28"/>
          <w14:textFill>
            <w14:solidFill>
              <w14:schemeClr w14:val="tx1"/>
            </w14:solidFill>
          </w14:textFill>
        </w:rPr>
        <w:t>附件</w:t>
      </w:r>
      <w:r>
        <w:rPr>
          <w:rFonts w:hint="eastAsia" w:ascii="黑体" w:hAnsi="黑体" w:eastAsia="黑体" w:cs="黑体"/>
          <w:b/>
          <w:bCs/>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p>
    <w:p>
      <w:pPr>
        <w:spacing w:before="210" w:line="22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pacing w:val="4"/>
          <w:sz w:val="30"/>
          <w:szCs w:val="30"/>
          <w14:textFill>
            <w14:solidFill>
              <w14:schemeClr w14:val="tx1"/>
            </w14:solidFill>
          </w14:textFill>
        </w:rPr>
        <w:t>协会</w:t>
      </w:r>
      <w:r>
        <w:rPr>
          <w:rFonts w:hint="eastAsia" w:ascii="宋体" w:hAnsi="宋体" w:eastAsia="宋体" w:cs="宋体"/>
          <w:b/>
          <w:bCs/>
          <w:color w:val="000000" w:themeColor="text1"/>
          <w:spacing w:val="4"/>
          <w:sz w:val="30"/>
          <w:szCs w:val="30"/>
          <w:lang w:val="en-US" w:eastAsia="zh-CN"/>
          <w14:textFill>
            <w14:solidFill>
              <w14:schemeClr w14:val="tx1"/>
            </w14:solidFill>
          </w14:textFill>
        </w:rPr>
        <w:t>个人会员</w:t>
      </w:r>
      <w:r>
        <w:rPr>
          <w:rFonts w:hint="eastAsia" w:ascii="宋体" w:hAnsi="宋体" w:eastAsia="宋体" w:cs="宋体"/>
          <w:b/>
          <w:bCs/>
          <w:color w:val="000000" w:themeColor="text1"/>
          <w:spacing w:val="4"/>
          <w:sz w:val="30"/>
          <w:szCs w:val="30"/>
          <w14:textFill>
            <w14:solidFill>
              <w14:schemeClr w14:val="tx1"/>
            </w14:solidFill>
          </w14:textFill>
        </w:rPr>
        <w:t>不良执业行为自律评价指标体系</w:t>
      </w:r>
    </w:p>
    <w:p>
      <w:pPr>
        <w:spacing w:line="65" w:lineRule="exact"/>
        <w:rPr>
          <w:color w:val="000000" w:themeColor="text1"/>
          <w14:textFill>
            <w14:solidFill>
              <w14:schemeClr w14:val="tx1"/>
            </w14:solidFill>
          </w14:textFill>
        </w:rPr>
      </w:pPr>
    </w:p>
    <w:tbl>
      <w:tblPr>
        <w:tblStyle w:val="6"/>
        <w:tblpPr w:leftFromText="180" w:rightFromText="180" w:vertAnchor="text" w:horzAnchor="page" w:tblpXSpec="center" w:tblpY="92"/>
        <w:tblOverlap w:val="never"/>
        <w:tblW w:w="86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4994"/>
        <w:gridCol w:w="1125"/>
        <w:gridCol w:w="1050"/>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514" w:type="dxa"/>
            <w:vMerge w:val="restart"/>
            <w:tcBorders>
              <w:bottom w:val="nil"/>
            </w:tcBorders>
            <w:vAlign w:val="center"/>
          </w:tcPr>
          <w:p>
            <w:pPr>
              <w:spacing w:before="45" w:line="221"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序号</w:t>
            </w:r>
          </w:p>
        </w:tc>
        <w:tc>
          <w:tcPr>
            <w:tcW w:w="4994" w:type="dxa"/>
            <w:vMerge w:val="restart"/>
            <w:tcBorders>
              <w:bottom w:val="nil"/>
            </w:tcBorders>
            <w:vAlign w:val="center"/>
          </w:tcPr>
          <w:p>
            <w:pPr>
              <w:spacing w:before="46" w:line="219"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减分内容</w:t>
            </w:r>
          </w:p>
        </w:tc>
        <w:tc>
          <w:tcPr>
            <w:tcW w:w="2175" w:type="dxa"/>
            <w:gridSpan w:val="2"/>
            <w:vAlign w:val="center"/>
          </w:tcPr>
          <w:p>
            <w:pPr>
              <w:spacing w:before="131" w:line="220" w:lineRule="auto"/>
              <w:ind w:left="136"/>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减分标准(分/起)</w:t>
            </w:r>
          </w:p>
        </w:tc>
        <w:tc>
          <w:tcPr>
            <w:tcW w:w="972" w:type="dxa"/>
            <w:vMerge w:val="restart"/>
            <w:tcBorders>
              <w:bottom w:val="nil"/>
            </w:tcBorders>
            <w:vAlign w:val="center"/>
          </w:tcPr>
          <w:p>
            <w:pPr>
              <w:spacing w:before="116" w:line="219" w:lineRule="auto"/>
              <w:jc w:val="both"/>
              <w:rPr>
                <w:rFonts w:ascii="仿宋" w:hAnsi="仿宋" w:eastAsia="仿宋" w:cs="仿宋"/>
                <w:color w:val="000000" w:themeColor="text1"/>
                <w:spacing w:val="-2"/>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减分是否</w:t>
            </w:r>
          </w:p>
          <w:p>
            <w:pPr>
              <w:spacing w:before="116" w:line="219"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可调整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14" w:type="dxa"/>
            <w:vMerge w:val="continue"/>
            <w:tcBorders>
              <w:top w:val="nil"/>
            </w:tcBorders>
            <w:vAlign w:val="center"/>
          </w:tcPr>
          <w:p>
            <w:pPr>
              <w:jc w:val="both"/>
              <w:rPr>
                <w:rFonts w:ascii="仿宋" w:hAnsi="仿宋" w:eastAsia="仿宋" w:cs="仿宋"/>
                <w:color w:val="000000" w:themeColor="text1"/>
                <w14:textFill>
                  <w14:solidFill>
                    <w14:schemeClr w14:val="tx1"/>
                  </w14:solidFill>
                </w14:textFill>
              </w:rPr>
            </w:pPr>
          </w:p>
        </w:tc>
        <w:tc>
          <w:tcPr>
            <w:tcW w:w="4994" w:type="dxa"/>
            <w:vMerge w:val="continue"/>
            <w:tcBorders>
              <w:top w:val="nil"/>
            </w:tcBorders>
            <w:vAlign w:val="center"/>
          </w:tcPr>
          <w:p>
            <w:pPr>
              <w:jc w:val="both"/>
              <w:rPr>
                <w:rFonts w:ascii="仿宋" w:hAnsi="仿宋" w:eastAsia="仿宋" w:cs="仿宋"/>
                <w:color w:val="000000" w:themeColor="text1"/>
                <w14:textFill>
                  <w14:solidFill>
                    <w14:schemeClr w14:val="tx1"/>
                  </w14:solidFill>
                </w14:textFill>
              </w:rPr>
            </w:pPr>
          </w:p>
        </w:tc>
        <w:tc>
          <w:tcPr>
            <w:tcW w:w="1125" w:type="dxa"/>
            <w:vAlign w:val="center"/>
          </w:tcPr>
          <w:p>
            <w:pPr>
              <w:spacing w:before="115" w:line="219"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核实后每次扣分标准</w:t>
            </w:r>
          </w:p>
        </w:tc>
        <w:tc>
          <w:tcPr>
            <w:tcW w:w="1050" w:type="dxa"/>
            <w:vAlign w:val="center"/>
          </w:tcPr>
          <w:p>
            <w:pPr>
              <w:spacing w:before="116" w:line="219" w:lineRule="auto"/>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2"/>
                <w14:textFill>
                  <w14:solidFill>
                    <w14:schemeClr w14:val="tx1"/>
                  </w14:solidFill>
                </w14:textFill>
              </w:rPr>
              <w:t>整改修复后扣分标准</w:t>
            </w:r>
          </w:p>
        </w:tc>
        <w:tc>
          <w:tcPr>
            <w:tcW w:w="972" w:type="dxa"/>
            <w:vMerge w:val="continue"/>
            <w:tcBorders>
              <w:top w:val="nil"/>
            </w:tcBorders>
            <w:vAlign w:val="center"/>
          </w:tcPr>
          <w:p>
            <w:pPr>
              <w:jc w:val="both"/>
              <w:rPr>
                <w:rFonts w:ascii="仿宋" w:hAnsi="仿宋" w:eastAsia="仿宋" w:cs="仿宋"/>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8655" w:type="dxa"/>
            <w:gridSpan w:val="5"/>
            <w:vAlign w:val="center"/>
          </w:tcPr>
          <w:p>
            <w:pPr>
              <w:spacing w:before="35" w:line="219"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pacing w:val="-3"/>
                <w14:textFill>
                  <w14:solidFill>
                    <w14:schemeClr w14:val="tx1"/>
                  </w14:solidFill>
                </w14:textFill>
              </w:rPr>
              <w:t>人员登记类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514" w:type="dxa"/>
            <w:vAlign w:val="center"/>
          </w:tcPr>
          <w:p>
            <w:pPr>
              <w:spacing w:before="173" w:line="184"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4994" w:type="dxa"/>
            <w:vAlign w:val="center"/>
          </w:tcPr>
          <w:p>
            <w:pPr>
              <w:spacing w:before="48" w:line="238" w:lineRule="auto"/>
              <w:ind w:left="11" w:right="7"/>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未按规定及时办理注册房地产估价师证书的变更或延续</w:t>
            </w:r>
          </w:p>
        </w:tc>
        <w:tc>
          <w:tcPr>
            <w:tcW w:w="1125" w:type="dxa"/>
            <w:vAlign w:val="center"/>
          </w:tcPr>
          <w:p>
            <w:pPr>
              <w:spacing w:before="186" w:line="184" w:lineRule="auto"/>
              <w:ind w:left="316"/>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1050" w:type="dxa"/>
            <w:vAlign w:val="center"/>
          </w:tcPr>
          <w:p>
            <w:pPr>
              <w:spacing w:before="186" w:line="183" w:lineRule="auto"/>
              <w:ind w:left="30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0</w:t>
            </w:r>
          </w:p>
        </w:tc>
        <w:tc>
          <w:tcPr>
            <w:tcW w:w="972" w:type="dxa"/>
            <w:vAlign w:val="center"/>
          </w:tcPr>
          <w:p>
            <w:pPr>
              <w:spacing w:before="140" w:line="223"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14" w:type="dxa"/>
            <w:vAlign w:val="center"/>
          </w:tcPr>
          <w:p>
            <w:pPr>
              <w:spacing w:before="174"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4994" w:type="dxa"/>
            <w:vAlign w:val="center"/>
          </w:tcPr>
          <w:p>
            <w:pPr>
              <w:spacing w:before="59" w:line="234" w:lineRule="auto"/>
              <w:ind w:left="11" w:right="17" w:firstLine="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涂改、倒卖、出租、出借或其他形式非法转让注册证书</w:t>
            </w:r>
          </w:p>
        </w:tc>
        <w:tc>
          <w:tcPr>
            <w:tcW w:w="1125" w:type="dxa"/>
            <w:vAlign w:val="center"/>
          </w:tcPr>
          <w:p>
            <w:pPr>
              <w:spacing w:before="174" w:line="183" w:lineRule="auto"/>
              <w:ind w:left="316"/>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3"/>
                <w14:textFill>
                  <w14:solidFill>
                    <w14:schemeClr w14:val="tx1"/>
                  </w14:solidFill>
                </w14:textFill>
              </w:rPr>
              <w:t>20</w:t>
            </w:r>
          </w:p>
        </w:tc>
        <w:tc>
          <w:tcPr>
            <w:tcW w:w="1050" w:type="dxa"/>
            <w:vAlign w:val="center"/>
          </w:tcPr>
          <w:p>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39"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514" w:type="dxa"/>
            <w:vAlign w:val="center"/>
          </w:tcPr>
          <w:p>
            <w:pPr>
              <w:spacing w:before="175"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4994" w:type="dxa"/>
            <w:vAlign w:val="center"/>
          </w:tcPr>
          <w:p>
            <w:pPr>
              <w:spacing w:before="49" w:line="241" w:lineRule="auto"/>
              <w:ind w:left="11" w:right="7"/>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1"/>
                <w14:textFill>
                  <w14:solidFill>
                    <w14:schemeClr w14:val="tx1"/>
                  </w14:solidFill>
                </w14:textFill>
              </w:rPr>
              <w:t>提供虚假资料进行估价师注册的</w:t>
            </w:r>
          </w:p>
        </w:tc>
        <w:tc>
          <w:tcPr>
            <w:tcW w:w="1125" w:type="dxa"/>
            <w:vAlign w:val="center"/>
          </w:tcPr>
          <w:p>
            <w:pPr>
              <w:spacing w:before="176" w:line="182" w:lineRule="auto"/>
              <w:ind w:left="35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1050" w:type="dxa"/>
            <w:vAlign w:val="center"/>
          </w:tcPr>
          <w:p>
            <w:pPr>
              <w:spacing w:before="175" w:line="184" w:lineRule="auto"/>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42" w:line="223"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4994" w:type="dxa"/>
            <w:vAlign w:val="center"/>
          </w:tcPr>
          <w:p>
            <w:pPr>
              <w:spacing w:before="81" w:line="214" w:lineRule="auto"/>
              <w:ind w:left="11" w:right="27"/>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未按规定向有关主管部门办理备案手续</w:t>
            </w:r>
          </w:p>
        </w:tc>
        <w:tc>
          <w:tcPr>
            <w:tcW w:w="1125" w:type="dxa"/>
            <w:vAlign w:val="center"/>
          </w:tcPr>
          <w:p>
            <w:pPr>
              <w:spacing w:before="186" w:line="184" w:lineRule="auto"/>
              <w:ind w:left="316"/>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050" w:type="dxa"/>
            <w:vAlign w:val="center"/>
          </w:tcPr>
          <w:p>
            <w:pPr>
              <w:spacing w:before="186" w:line="183" w:lineRule="auto"/>
              <w:ind w:left="308"/>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0</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4994" w:type="dxa"/>
            <w:vAlign w:val="center"/>
          </w:tcPr>
          <w:p>
            <w:pPr>
              <w:spacing w:before="81" w:line="214" w:lineRule="auto"/>
              <w:ind w:left="11" w:right="27"/>
              <w:jc w:val="both"/>
              <w:rPr>
                <w:rFonts w:ascii="仿宋" w:hAnsi="仿宋" w:eastAsia="仿宋" w:cs="仿宋"/>
                <w:color w:val="000000" w:themeColor="text1"/>
                <w:spacing w:val="10"/>
                <w14:textFill>
                  <w14:solidFill>
                    <w14:schemeClr w14:val="tx1"/>
                  </w14:solidFill>
                </w14:textFill>
              </w:rPr>
            </w:pPr>
            <w:r>
              <w:rPr>
                <w:rFonts w:hint="eastAsia" w:ascii="仿宋" w:hAnsi="仿宋" w:eastAsia="仿宋" w:cs="仿宋"/>
                <w:color w:val="000000" w:themeColor="text1"/>
                <w:spacing w:val="10"/>
                <w14:textFill>
                  <w14:solidFill>
                    <w14:schemeClr w14:val="tx1"/>
                  </w14:solidFill>
                </w14:textFill>
              </w:rPr>
              <w:t>未取得或被吊销备案证书开展房地产估价业务</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655"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违规行为</w:t>
            </w:r>
            <w:r>
              <w:rPr>
                <w:rFonts w:hint="eastAsia" w:ascii="仿宋" w:hAnsi="仿宋" w:eastAsia="仿宋" w:cs="仿宋"/>
                <w:b/>
                <w:bCs/>
                <w:color w:val="000000" w:themeColor="text1"/>
                <w14:textFill>
                  <w14:solidFill>
                    <w14:schemeClr w14:val="tx1"/>
                  </w14:solidFill>
                </w14:textFill>
              </w:rPr>
              <w:t>执业行为类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利用业务之便，谋取不正当利益</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050" w:type="dxa"/>
            <w:vAlign w:val="center"/>
          </w:tcPr>
          <w:p>
            <w:pPr>
              <w:spacing w:before="186" w:line="183" w:lineRule="auto"/>
              <w:ind w:left="308"/>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lang w:val="en-US" w:eastAsia="zh-CN"/>
                <w14:textFill>
                  <w14:solidFill>
                    <w14:schemeClr w14:val="tx1"/>
                  </w14:solidFill>
                </w14:textFill>
              </w:rPr>
              <w:t>估价业务承接或估价活动中</w:t>
            </w:r>
            <w:r>
              <w:rPr>
                <w:rFonts w:hint="eastAsia" w:ascii="仿宋" w:hAnsi="仿宋" w:eastAsia="仿宋" w:cs="仿宋"/>
                <w:color w:val="000000" w:themeColor="text1"/>
                <w:spacing w:val="16"/>
                <w14:textFill>
                  <w14:solidFill>
                    <w14:schemeClr w14:val="tx1"/>
                  </w14:solidFill>
                </w14:textFill>
              </w:rPr>
              <w:t>应当回避而未回避</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050" w:type="dxa"/>
            <w:vAlign w:val="center"/>
          </w:tcPr>
          <w:p>
            <w:pPr>
              <w:spacing w:before="186" w:line="183" w:lineRule="auto"/>
              <w:ind w:left="308"/>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8</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同时在两个或两个以上的估价机构执业</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9</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允许他人以本人名义从事业务或者冒用他人名义从事业务</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10</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9"/>
                <w14:textFill>
                  <w14:solidFill>
                    <w14:schemeClr w14:val="tx1"/>
                  </w14:solidFill>
                </w14:textFill>
              </w:rPr>
              <w:t>违反房地产估价规范和标准，出具有误导性陈述或重</w:t>
            </w:r>
            <w:r>
              <w:rPr>
                <w:rFonts w:hint="eastAsia" w:ascii="仿宋" w:hAnsi="仿宋" w:eastAsia="仿宋" w:cs="仿宋"/>
                <w:color w:val="000000" w:themeColor="text1"/>
                <w:spacing w:val="8"/>
                <w14:textFill>
                  <w14:solidFill>
                    <w14:schemeClr w14:val="tx1"/>
                  </w14:solidFill>
                </w14:textFill>
              </w:rPr>
              <w:t>大遗漏评估报告</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1050" w:type="dxa"/>
            <w:vAlign w:val="center"/>
          </w:tcPr>
          <w:p>
            <w:pPr>
              <w:spacing w:before="186" w:line="183" w:lineRule="auto"/>
              <w:ind w:left="308"/>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11</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7"/>
                <w14:textFill>
                  <w14:solidFill>
                    <w14:schemeClr w14:val="tx1"/>
                  </w14:solidFill>
                </w14:textFill>
              </w:rPr>
              <w:t>违反房地产估价规范和标准，出具虚假评估报告</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12</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以个人名义</w:t>
            </w:r>
            <w:r>
              <w:rPr>
                <w:rFonts w:hint="eastAsia" w:ascii="仿宋" w:hAnsi="仿宋" w:eastAsia="仿宋" w:cs="仿宋"/>
                <w:color w:val="000000" w:themeColor="text1"/>
                <w:spacing w:val="16"/>
                <w:lang w:val="en-US" w:eastAsia="zh-CN"/>
                <w14:textFill>
                  <w14:solidFill>
                    <w14:schemeClr w14:val="tx1"/>
                  </w14:solidFill>
                </w14:textFill>
              </w:rPr>
              <w:t>承接</w:t>
            </w:r>
            <w:r>
              <w:rPr>
                <w:rFonts w:hint="eastAsia" w:ascii="仿宋" w:hAnsi="仿宋" w:eastAsia="仿宋" w:cs="仿宋"/>
                <w:color w:val="000000" w:themeColor="text1"/>
                <w:spacing w:val="16"/>
                <w14:textFill>
                  <w14:solidFill>
                    <w14:schemeClr w14:val="tx1"/>
                  </w14:solidFill>
                </w14:textFill>
              </w:rPr>
              <w:t>从事房地产估价业务收取费用</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ind w:left="308"/>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评估师注册证书有效期已过仍继续签字盖章</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20</w:t>
            </w:r>
          </w:p>
        </w:tc>
        <w:tc>
          <w:tcPr>
            <w:tcW w:w="1050" w:type="dxa"/>
            <w:vAlign w:val="center"/>
          </w:tcPr>
          <w:p>
            <w:pPr>
              <w:spacing w:before="186" w:line="183" w:lineRule="auto"/>
              <w:ind w:left="308"/>
              <w:jc w:val="both"/>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10</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14</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存在其他违反法律法规、行业自律约定的行为</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5-</w:t>
            </w: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ascii="仿宋" w:hAnsi="仿宋" w:eastAsia="仿宋" w:cs="仿宋"/>
                <w:color w:val="000000" w:themeColor="text1"/>
                <w:spacing w:val="-3"/>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满2年</w:t>
            </w:r>
            <w:r>
              <w:rPr>
                <w:rFonts w:hint="eastAsia" w:ascii="仿宋" w:hAnsi="仿宋" w:eastAsia="仿宋" w:cs="仿宋"/>
                <w:color w:val="000000" w:themeColor="text1"/>
                <w:spacing w:val="-4"/>
                <w14:textFill>
                  <w14:solidFill>
                    <w14:schemeClr w14:val="tx1"/>
                  </w14:solidFill>
                </w14:textFill>
              </w:rPr>
              <w:t>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8655" w:type="dxa"/>
            <w:gridSpan w:val="5"/>
            <w:vAlign w:val="center"/>
          </w:tcPr>
          <w:p>
            <w:pPr>
              <w:spacing w:before="151" w:line="220" w:lineRule="auto"/>
              <w:ind w:left="229"/>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重大不良执业行为类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伪造出具房地产估价报告或其他</w:t>
            </w:r>
            <w:r>
              <w:rPr>
                <w:rFonts w:hint="eastAsia" w:ascii="仿宋" w:hAnsi="仿宋" w:eastAsia="仿宋" w:cs="仿宋"/>
                <w:color w:val="000000" w:themeColor="text1"/>
                <w:spacing w:val="16"/>
                <w:lang w:val="en-US" w:eastAsia="zh-CN"/>
                <w14:textFill>
                  <w14:solidFill>
                    <w14:schemeClr w14:val="tx1"/>
                  </w14:solidFill>
                </w14:textFill>
              </w:rPr>
              <w:t>类型</w:t>
            </w:r>
            <w:r>
              <w:rPr>
                <w:rFonts w:hint="eastAsia" w:ascii="仿宋" w:hAnsi="仿宋" w:eastAsia="仿宋" w:cs="仿宋"/>
                <w:color w:val="000000" w:themeColor="text1"/>
                <w:spacing w:val="16"/>
                <w14:textFill>
                  <w14:solidFill>
                    <w14:schemeClr w14:val="tx1"/>
                  </w14:solidFill>
                </w14:textFill>
              </w:rPr>
              <w:t>估价成果</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16</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违规使用商业机密，或其他估价业务行为严重损害他人合法权益、名誉的行为，且被相关行政通报或刑罚</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无正当理由，不配合或拒绝有关行政管理部门或设区市及以上行业协会依法开展相关工作的</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18</w:t>
            </w:r>
          </w:p>
        </w:tc>
        <w:tc>
          <w:tcPr>
            <w:tcW w:w="4994" w:type="dxa"/>
            <w:vAlign w:val="center"/>
          </w:tcPr>
          <w:p>
            <w:pPr>
              <w:spacing w:before="81" w:line="214" w:lineRule="auto"/>
              <w:ind w:left="11"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被行政或行业协会认定，采取不正当手段恶意竞争，给设区市及以上行业或同行的声誉及利益带来重大负面影响</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w:t>
            </w:r>
          </w:p>
        </w:tc>
        <w:tc>
          <w:tcPr>
            <w:tcW w:w="4994" w:type="dxa"/>
            <w:vAlign w:val="center"/>
          </w:tcPr>
          <w:p>
            <w:pPr>
              <w:spacing w:before="81" w:line="214" w:lineRule="auto"/>
              <w:ind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执业过程中弄虚作假</w:t>
            </w:r>
            <w:r>
              <w:rPr>
                <w:rFonts w:hint="eastAsia" w:ascii="仿宋" w:hAnsi="仿宋" w:eastAsia="仿宋" w:cs="仿宋"/>
                <w:color w:val="000000" w:themeColor="text1"/>
                <w:spacing w:val="16"/>
                <w:lang w:val="en-US" w:eastAsia="zh-CN"/>
                <w14:textFill>
                  <w14:solidFill>
                    <w14:schemeClr w14:val="tx1"/>
                  </w14:solidFill>
                </w14:textFill>
              </w:rPr>
              <w:t>或</w:t>
            </w:r>
            <w:r>
              <w:rPr>
                <w:rFonts w:hint="eastAsia" w:ascii="仿宋" w:hAnsi="仿宋" w:eastAsia="仿宋" w:cs="仿宋"/>
                <w:color w:val="000000" w:themeColor="text1"/>
                <w:spacing w:val="16"/>
                <w14:textFill>
                  <w14:solidFill>
                    <w14:schemeClr w14:val="tx1"/>
                  </w14:solidFill>
                </w14:textFill>
              </w:rPr>
              <w:t>隐瞒真相造成严重后果</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jc w:val="center"/>
        </w:trPr>
        <w:tc>
          <w:tcPr>
            <w:tcW w:w="514" w:type="dxa"/>
            <w:vAlign w:val="center"/>
          </w:tcPr>
          <w:p>
            <w:pPr>
              <w:spacing w:before="186" w:line="183" w:lineRule="auto"/>
              <w:ind w:left="185"/>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20</w:t>
            </w:r>
          </w:p>
        </w:tc>
        <w:tc>
          <w:tcPr>
            <w:tcW w:w="4994" w:type="dxa"/>
            <w:vAlign w:val="center"/>
          </w:tcPr>
          <w:p>
            <w:pPr>
              <w:spacing w:before="81" w:line="214" w:lineRule="auto"/>
              <w:ind w:right="27"/>
              <w:jc w:val="both"/>
              <w:rPr>
                <w:rFonts w:ascii="仿宋" w:hAnsi="仿宋" w:eastAsia="仿宋" w:cs="仿宋"/>
                <w:color w:val="000000" w:themeColor="text1"/>
                <w:spacing w:val="16"/>
                <w14:textFill>
                  <w14:solidFill>
                    <w14:schemeClr w14:val="tx1"/>
                  </w14:solidFill>
                </w14:textFill>
              </w:rPr>
            </w:pPr>
            <w:r>
              <w:rPr>
                <w:rFonts w:hint="eastAsia" w:ascii="仿宋" w:hAnsi="仿宋" w:eastAsia="仿宋" w:cs="仿宋"/>
                <w:color w:val="000000" w:themeColor="text1"/>
                <w:spacing w:val="16"/>
                <w14:textFill>
                  <w14:solidFill>
                    <w14:schemeClr w14:val="tx1"/>
                  </w14:solidFill>
                </w14:textFill>
              </w:rPr>
              <w:t>违法犯罪被刑事处罚的</w:t>
            </w:r>
          </w:p>
        </w:tc>
        <w:tc>
          <w:tcPr>
            <w:tcW w:w="1125" w:type="dxa"/>
            <w:vAlign w:val="center"/>
          </w:tcPr>
          <w:p>
            <w:pPr>
              <w:spacing w:before="186" w:line="184" w:lineRule="auto"/>
              <w:ind w:left="316"/>
              <w:jc w:val="both"/>
              <w:rPr>
                <w:rFonts w:ascii="仿宋" w:hAnsi="仿宋" w:eastAsia="仿宋" w:cs="仿宋"/>
                <w:color w:val="000000" w:themeColor="text1"/>
                <w:spacing w:val="-4"/>
                <w14:textFill>
                  <w14:solidFill>
                    <w14:schemeClr w14:val="tx1"/>
                  </w14:solidFill>
                </w14:textFill>
              </w:rPr>
            </w:pPr>
            <w:r>
              <w:rPr>
                <w:rFonts w:hint="eastAsia" w:ascii="仿宋" w:hAnsi="仿宋" w:eastAsia="仿宋" w:cs="仿宋"/>
                <w:color w:val="000000" w:themeColor="text1"/>
                <w:spacing w:val="-4"/>
                <w:lang w:val="en-US" w:eastAsia="zh-CN"/>
                <w14:textFill>
                  <w14:solidFill>
                    <w14:schemeClr w14:val="tx1"/>
                  </w14:solidFill>
                </w14:textFill>
              </w:rPr>
              <w:t>3</w:t>
            </w:r>
            <w:r>
              <w:rPr>
                <w:rFonts w:hint="eastAsia" w:ascii="仿宋" w:hAnsi="仿宋" w:eastAsia="仿宋" w:cs="仿宋"/>
                <w:color w:val="000000" w:themeColor="text1"/>
                <w:spacing w:val="-4"/>
                <w14:textFill>
                  <w14:solidFill>
                    <w14:schemeClr w14:val="tx1"/>
                  </w14:solidFill>
                </w14:textFill>
              </w:rPr>
              <w:t>0</w:t>
            </w:r>
          </w:p>
        </w:tc>
        <w:tc>
          <w:tcPr>
            <w:tcW w:w="1050" w:type="dxa"/>
            <w:vAlign w:val="center"/>
          </w:tcPr>
          <w:p>
            <w:pPr>
              <w:spacing w:before="186" w:line="183" w:lineRule="auto"/>
              <w:jc w:val="center"/>
              <w:rPr>
                <w:rFonts w:hint="eastAsia" w:ascii="仿宋" w:hAnsi="仿宋" w:eastAsia="仿宋" w:cs="仿宋"/>
                <w:color w:val="000000" w:themeColor="text1"/>
                <w:spacing w:val="-3"/>
                <w:lang w:eastAsia="zh-CN"/>
                <w14:textFill>
                  <w14:solidFill>
                    <w14:schemeClr w14:val="tx1"/>
                  </w14:solidFill>
                </w14:textFill>
              </w:rPr>
            </w:pPr>
            <w:r>
              <w:rPr>
                <w:rFonts w:hint="eastAsia" w:ascii="仿宋" w:hAnsi="仿宋" w:eastAsia="仿宋" w:cs="仿宋"/>
                <w:color w:val="000000" w:themeColor="text1"/>
                <w:spacing w:val="-4"/>
                <w:lang w:eastAsia="zh-CN"/>
                <w14:textFill>
                  <w14:solidFill>
                    <w14:schemeClr w14:val="tx1"/>
                  </w14:solidFill>
                </w14:textFill>
              </w:rPr>
              <w:t>满3年修复</w:t>
            </w:r>
          </w:p>
        </w:tc>
        <w:tc>
          <w:tcPr>
            <w:tcW w:w="972" w:type="dxa"/>
            <w:vAlign w:val="center"/>
          </w:tcPr>
          <w:p>
            <w:pPr>
              <w:spacing w:before="151" w:line="220" w:lineRule="auto"/>
              <w:ind w:left="229"/>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4"/>
                <w14:textFill>
                  <w14:solidFill>
                    <w14:schemeClr w14:val="tx1"/>
                  </w14:solidFill>
                </w14:textFill>
              </w:rPr>
              <w:t>否</w:t>
            </w:r>
          </w:p>
        </w:tc>
      </w:tr>
    </w:tbl>
    <w:p>
      <w:pPr>
        <w:spacing w:line="480" w:lineRule="auto"/>
        <w:rPr>
          <w:rFonts w:ascii="仿宋" w:hAnsi="仿宋" w:eastAsia="仿宋" w:cs="仿宋"/>
          <w:color w:val="000000" w:themeColor="text1"/>
          <w:sz w:val="28"/>
          <w:szCs w:val="28"/>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BECCC"/>
    <w:multiLevelType w:val="singleLevel"/>
    <w:tmpl w:val="8A9BEC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Y2UyMzkyNjE4NmE3ZWQ2YmVlYjk2NzQ3MzI1NjgifQ=="/>
  </w:docVars>
  <w:rsids>
    <w:rsidRoot w:val="6BF072D0"/>
    <w:rsid w:val="00017980"/>
    <w:rsid w:val="000A69F3"/>
    <w:rsid w:val="000C223A"/>
    <w:rsid w:val="00226463"/>
    <w:rsid w:val="00363024"/>
    <w:rsid w:val="004C6D42"/>
    <w:rsid w:val="005F7C86"/>
    <w:rsid w:val="0061571A"/>
    <w:rsid w:val="0068396C"/>
    <w:rsid w:val="006B7422"/>
    <w:rsid w:val="007103BD"/>
    <w:rsid w:val="007645D3"/>
    <w:rsid w:val="00795800"/>
    <w:rsid w:val="00807CB4"/>
    <w:rsid w:val="008231F4"/>
    <w:rsid w:val="00826CDF"/>
    <w:rsid w:val="00B5331E"/>
    <w:rsid w:val="00BF3F51"/>
    <w:rsid w:val="00D752A6"/>
    <w:rsid w:val="00E875E0"/>
    <w:rsid w:val="00FC34E2"/>
    <w:rsid w:val="01845383"/>
    <w:rsid w:val="029601B1"/>
    <w:rsid w:val="060A2F13"/>
    <w:rsid w:val="07226255"/>
    <w:rsid w:val="094B45B9"/>
    <w:rsid w:val="0AC71DB2"/>
    <w:rsid w:val="0B2F079D"/>
    <w:rsid w:val="0CAA4522"/>
    <w:rsid w:val="0D64744E"/>
    <w:rsid w:val="0D9B60AE"/>
    <w:rsid w:val="0DB8005B"/>
    <w:rsid w:val="0E5355A6"/>
    <w:rsid w:val="0FCA3BFC"/>
    <w:rsid w:val="13C52C30"/>
    <w:rsid w:val="13CF44D3"/>
    <w:rsid w:val="14CD3D78"/>
    <w:rsid w:val="164E79D4"/>
    <w:rsid w:val="167A7865"/>
    <w:rsid w:val="17512165"/>
    <w:rsid w:val="181E427D"/>
    <w:rsid w:val="18FA2EDF"/>
    <w:rsid w:val="190C70F1"/>
    <w:rsid w:val="192166BD"/>
    <w:rsid w:val="197717F0"/>
    <w:rsid w:val="1A4A30B1"/>
    <w:rsid w:val="1A78410E"/>
    <w:rsid w:val="1AE92EA5"/>
    <w:rsid w:val="1BE42050"/>
    <w:rsid w:val="1C2F7AEB"/>
    <w:rsid w:val="1CA61122"/>
    <w:rsid w:val="1D080A08"/>
    <w:rsid w:val="1E403142"/>
    <w:rsid w:val="2083629C"/>
    <w:rsid w:val="214D4039"/>
    <w:rsid w:val="2190239A"/>
    <w:rsid w:val="225A1888"/>
    <w:rsid w:val="23BA5A26"/>
    <w:rsid w:val="24664326"/>
    <w:rsid w:val="266B2379"/>
    <w:rsid w:val="26EE1E38"/>
    <w:rsid w:val="29A37C7E"/>
    <w:rsid w:val="2A7C5960"/>
    <w:rsid w:val="2AF03966"/>
    <w:rsid w:val="2C0B5744"/>
    <w:rsid w:val="2C531ED8"/>
    <w:rsid w:val="2C8E4891"/>
    <w:rsid w:val="2D0A27EF"/>
    <w:rsid w:val="2E5F5410"/>
    <w:rsid w:val="2F8C0639"/>
    <w:rsid w:val="30754EB3"/>
    <w:rsid w:val="30B76285"/>
    <w:rsid w:val="325E7F4A"/>
    <w:rsid w:val="34036A94"/>
    <w:rsid w:val="351548AA"/>
    <w:rsid w:val="35856D5E"/>
    <w:rsid w:val="36911198"/>
    <w:rsid w:val="372D2DBC"/>
    <w:rsid w:val="385B1020"/>
    <w:rsid w:val="38D56C3C"/>
    <w:rsid w:val="38E9285B"/>
    <w:rsid w:val="39085E9C"/>
    <w:rsid w:val="3B0D5A05"/>
    <w:rsid w:val="3B400E04"/>
    <w:rsid w:val="3BA3286D"/>
    <w:rsid w:val="3C365EDA"/>
    <w:rsid w:val="3C822CDE"/>
    <w:rsid w:val="3CE520B7"/>
    <w:rsid w:val="3D4A2C58"/>
    <w:rsid w:val="3D6469FD"/>
    <w:rsid w:val="3EBA711C"/>
    <w:rsid w:val="3F6D4BB5"/>
    <w:rsid w:val="3F8B62E2"/>
    <w:rsid w:val="40AD420F"/>
    <w:rsid w:val="40D54BEA"/>
    <w:rsid w:val="428B0F11"/>
    <w:rsid w:val="44C35A12"/>
    <w:rsid w:val="45C55AAD"/>
    <w:rsid w:val="47726A21"/>
    <w:rsid w:val="48717340"/>
    <w:rsid w:val="48B609BB"/>
    <w:rsid w:val="4B364C0C"/>
    <w:rsid w:val="4B3E6A92"/>
    <w:rsid w:val="4DEB78FF"/>
    <w:rsid w:val="4E817891"/>
    <w:rsid w:val="4F607D1C"/>
    <w:rsid w:val="4F7B1A14"/>
    <w:rsid w:val="4F9F651E"/>
    <w:rsid w:val="503555C5"/>
    <w:rsid w:val="52AD3033"/>
    <w:rsid w:val="533755BE"/>
    <w:rsid w:val="5360220E"/>
    <w:rsid w:val="53DC364D"/>
    <w:rsid w:val="54FD7CAE"/>
    <w:rsid w:val="55781EC6"/>
    <w:rsid w:val="568E5C3E"/>
    <w:rsid w:val="58035BF4"/>
    <w:rsid w:val="5A67147B"/>
    <w:rsid w:val="5B6219E0"/>
    <w:rsid w:val="5B6F6C58"/>
    <w:rsid w:val="5DC07C34"/>
    <w:rsid w:val="5DE27853"/>
    <w:rsid w:val="5E3D45A3"/>
    <w:rsid w:val="60B27E86"/>
    <w:rsid w:val="60B53B64"/>
    <w:rsid w:val="61502C69"/>
    <w:rsid w:val="63FE4584"/>
    <w:rsid w:val="64415EDF"/>
    <w:rsid w:val="651D6D6D"/>
    <w:rsid w:val="67CB3CE1"/>
    <w:rsid w:val="67E121F4"/>
    <w:rsid w:val="68003A0D"/>
    <w:rsid w:val="6908207B"/>
    <w:rsid w:val="6A6136E2"/>
    <w:rsid w:val="6AE0356E"/>
    <w:rsid w:val="6BE02248"/>
    <w:rsid w:val="6BF072D0"/>
    <w:rsid w:val="6CB36CA1"/>
    <w:rsid w:val="6DDE2F13"/>
    <w:rsid w:val="6E4868C4"/>
    <w:rsid w:val="6E5D591E"/>
    <w:rsid w:val="6EA710F3"/>
    <w:rsid w:val="70DE33CA"/>
    <w:rsid w:val="71A74345"/>
    <w:rsid w:val="71AC408F"/>
    <w:rsid w:val="73255B80"/>
    <w:rsid w:val="732D40D2"/>
    <w:rsid w:val="746A00FC"/>
    <w:rsid w:val="74760C61"/>
    <w:rsid w:val="76EC0735"/>
    <w:rsid w:val="7A624934"/>
    <w:rsid w:val="7A66532E"/>
    <w:rsid w:val="7A9E259F"/>
    <w:rsid w:val="7CB63C70"/>
    <w:rsid w:val="7E3F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7955</Words>
  <Characters>8107</Characters>
  <Lines>52</Lines>
  <Paragraphs>14</Paragraphs>
  <TotalTime>12</TotalTime>
  <ScaleCrop>false</ScaleCrop>
  <LinksUpToDate>false</LinksUpToDate>
  <CharactersWithSpaces>8210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2024-04-17T16:40:00Z</dcterms:created>
  <dc:creator>Administrator</dc:creator>
  <cp:lastModifiedBy>嫣然一笑</cp:lastModifiedBy>
  <dcterms:modified xsi:type="dcterms:W3CDTF">2024-05-27T09:06:22Z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EAA84AA7779F455195A656F689984B1A_13</vt:lpwstr>
  </property>
</Properties>
</file>